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JSLY202305</w:t>
      </w:r>
      <w:r>
        <w:rPr>
          <w:rFonts w:hint="eastAsia" w:ascii="宋体" w:hAnsi="宋体" w:cs="黑体"/>
          <w:b/>
          <w:color w:val="000000" w:themeColor="text1"/>
          <w:sz w:val="32"/>
          <w:szCs w:val="32"/>
          <w:highlight w:val="none"/>
          <w:lang w:val="en-US" w:eastAsia="zh-CN"/>
        </w:rPr>
        <w:t>2314</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江苏旅游职业学院信息学院耗材采购项目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2</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5</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23</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1"/>
        </w:numPr>
        <w:spacing w:line="360" w:lineRule="auto"/>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江苏旅游职业学院信息学院耗材采购项目</w:t>
      </w:r>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江苏旅游职业学院信息学院耗材采购项目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JSLY202305</w:t>
            </w:r>
            <w:r>
              <w:rPr>
                <w:rFonts w:hint="eastAsia" w:ascii="宋体" w:hAnsi="宋体"/>
                <w:bCs/>
                <w:color w:val="000000" w:themeColor="text1"/>
                <w:szCs w:val="21"/>
                <w:highlight w:val="none"/>
                <w:lang w:val="en-US" w:eastAsia="zh-CN"/>
              </w:rPr>
              <w:t>2314</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bCs/>
                <w:color w:val="000000" w:themeColor="text1"/>
                <w:szCs w:val="21"/>
                <w:highlight w:val="none"/>
                <w:lang w:val="en-US" w:eastAsia="zh-CN"/>
              </w:rPr>
              <w:t>7</w:t>
            </w:r>
            <w:r>
              <w:rPr>
                <w:rFonts w:hint="eastAsia" w:ascii="宋体" w:hAnsi="宋体"/>
                <w:bCs/>
                <w:color w:val="000000" w:themeColor="text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2"/>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2"/>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3"/>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26</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 xml:space="preserve">26 </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5</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29</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4"/>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9"/>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7</w:t>
      </w:r>
      <w:r>
        <w:rPr>
          <w:rFonts w:hint="eastAsia" w:ascii="宋体" w:hAnsi="宋体" w:cs="宋体"/>
          <w:b/>
          <w:bCs/>
          <w:color w:val="000000" w:themeColor="text1"/>
          <w:szCs w:val="21"/>
          <w:highlight w:val="none"/>
        </w:rPr>
        <w:t>万元。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pStyle w:val="11"/>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一、项目概述</w:t>
      </w:r>
    </w:p>
    <w:p>
      <w:pPr>
        <w:spacing w:line="360" w:lineRule="auto"/>
        <w:ind w:firstLine="420" w:firstLineChars="200"/>
        <w:jc w:val="left"/>
        <w:rPr>
          <w:rFonts w:hint="eastAsia"/>
          <w:b/>
          <w:color w:val="000000" w:themeColor="text1"/>
          <w:sz w:val="24"/>
          <w:szCs w:val="24"/>
          <w:highlight w:val="none"/>
        </w:rPr>
      </w:pPr>
      <w:r>
        <w:rPr>
          <w:rFonts w:hint="eastAsia" w:ascii="宋体" w:hAnsi="宋体"/>
          <w:color w:val="000000" w:themeColor="text1"/>
          <w:szCs w:val="21"/>
          <w:highlight w:val="none"/>
        </w:rPr>
        <w:t>本项目主要用于</w:t>
      </w:r>
      <w:r>
        <w:rPr>
          <w:rFonts w:hint="eastAsia" w:ascii="宋体" w:hAnsi="宋体"/>
          <w:color w:val="000000" w:themeColor="text1"/>
          <w:szCs w:val="21"/>
          <w:highlight w:val="none"/>
          <w:lang w:eastAsia="zh-CN"/>
        </w:rPr>
        <w:t>江苏旅游职业学院信息学院实训耗材</w:t>
      </w:r>
      <w:r>
        <w:rPr>
          <w:rFonts w:hint="eastAsia" w:ascii="宋体" w:hAnsi="宋体"/>
          <w:color w:val="000000" w:themeColor="text1"/>
          <w:szCs w:val="21"/>
          <w:highlight w:val="none"/>
        </w:rPr>
        <w:t>。</w:t>
      </w:r>
    </w:p>
    <w:p>
      <w:pPr>
        <w:rPr>
          <w:rFonts w:hint="eastAsia" w:ascii="宋体" w:hAnsi="宋体" w:cs="宋体"/>
          <w:b/>
          <w:bCs/>
          <w:color w:val="000000" w:themeColor="text1"/>
          <w:szCs w:val="21"/>
          <w:highlight w:val="none"/>
        </w:rPr>
      </w:pPr>
    </w:p>
    <w:p>
      <w:pPr>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二、</w:t>
      </w:r>
      <w:r>
        <w:rPr>
          <w:rFonts w:hint="eastAsia" w:ascii="宋体" w:hAnsi="宋体"/>
          <w:b/>
          <w:color w:val="000000" w:themeColor="text1"/>
          <w:szCs w:val="21"/>
          <w:highlight w:val="none"/>
        </w:rPr>
        <w:t>采购内容和</w:t>
      </w:r>
      <w:r>
        <w:rPr>
          <w:rFonts w:hint="eastAsia" w:ascii="宋体" w:hAnsi="宋体"/>
          <w:b/>
          <w:color w:val="000000" w:themeColor="text1"/>
          <w:szCs w:val="21"/>
          <w:highlight w:val="none"/>
          <w:lang w:eastAsia="zh-CN"/>
        </w:rPr>
        <w:t>相关</w:t>
      </w:r>
      <w:r>
        <w:rPr>
          <w:rFonts w:hint="eastAsia" w:ascii="宋体" w:hAnsi="宋体"/>
          <w:b/>
          <w:color w:val="000000" w:themeColor="text1"/>
          <w:szCs w:val="21"/>
          <w:highlight w:val="none"/>
        </w:rPr>
        <w:t>技术要求</w:t>
      </w:r>
    </w:p>
    <w:tbl>
      <w:tblPr>
        <w:tblW w:w="831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98"/>
        <w:gridCol w:w="4726"/>
        <w:gridCol w:w="802"/>
        <w:gridCol w:w="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bookmarkStart w:id="8" w:name="_Toc415144876"/>
            <w:bookmarkEnd w:id="8"/>
            <w:bookmarkStart w:id="9" w:name="_Toc419305527"/>
            <w:bookmarkEnd w:id="9"/>
            <w:r>
              <w:rPr>
                <w:rFonts w:hint="eastAsia" w:ascii="宋体" w:hAnsi="宋体" w:eastAsia="宋体" w:cs="宋体"/>
                <w:b/>
                <w:bCs/>
                <w:i w:val="0"/>
                <w:iCs w:val="0"/>
                <w:color w:val="000000"/>
                <w:kern w:val="0"/>
                <w:sz w:val="20"/>
                <w:szCs w:val="20"/>
                <w:u w:val="none"/>
                <w:bdr w:val="none" w:color="auto" w:sz="0" w:space="0"/>
                <w:lang w:val="en-US" w:eastAsia="zh-CN" w:bidi="ar"/>
              </w:rPr>
              <w:t>实训项目名称</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原材料名称</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数量</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双绞线的制作</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Style w:val="22"/>
                <w:rFonts w:eastAsia="等线"/>
                <w:bdr w:val="none" w:color="auto" w:sz="0" w:space="0"/>
                <w:lang w:val="en-US" w:eastAsia="zh-CN" w:bidi="ar"/>
              </w:rPr>
              <w:t>5</w:t>
            </w:r>
            <w:r>
              <w:rPr>
                <w:rStyle w:val="23"/>
                <w:bdr w:val="none" w:color="auto" w:sz="0" w:space="0"/>
                <w:lang w:val="en-US" w:eastAsia="zh-CN" w:bidi="ar"/>
              </w:rPr>
              <w:t>类水晶头</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6类水晶头</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15</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restart"/>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线管线槽的制作</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剪刀</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30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nil"/>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超五类网线</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6</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nil"/>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六类网线</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nil"/>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M6螺丝</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nil"/>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PVC槽40cm</w:t>
            </w:r>
          </w:p>
        </w:tc>
        <w:tc>
          <w:tcPr>
            <w:tcW w:w="129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nil"/>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PVC管20cm</w:t>
            </w:r>
          </w:p>
        </w:tc>
        <w:tc>
          <w:tcPr>
            <w:tcW w:w="129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250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信息模块的制作</w:t>
            </w:r>
          </w:p>
        </w:tc>
        <w:tc>
          <w:tcPr>
            <w:tcW w:w="3456"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2"/>
                <w:rFonts w:eastAsia="等线"/>
                <w:bdr w:val="none" w:color="auto" w:sz="0" w:space="0"/>
                <w:lang w:val="en-US" w:eastAsia="zh-CN" w:bidi="ar"/>
              </w:rPr>
              <w:t>5</w:t>
            </w:r>
            <w:r>
              <w:rPr>
                <w:rStyle w:val="23"/>
                <w:bdr w:val="none" w:color="auto" w:sz="0" w:space="0"/>
                <w:lang w:val="en-US" w:eastAsia="zh-CN" w:bidi="ar"/>
              </w:rPr>
              <w:t>类信息模块</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500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同轴电缆的制作</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3"/>
                <w:bdr w:val="none" w:color="auto" w:sz="0" w:space="0"/>
                <w:lang w:val="en-US" w:eastAsia="zh-CN" w:bidi="ar"/>
              </w:rPr>
              <w:t>公制</w:t>
            </w:r>
            <w:r>
              <w:rPr>
                <w:rStyle w:val="22"/>
                <w:rFonts w:eastAsia="宋体"/>
                <w:bdr w:val="none" w:color="auto" w:sz="0" w:space="0"/>
                <w:lang w:val="en-US" w:eastAsia="zh-CN" w:bidi="ar"/>
              </w:rPr>
              <w:t>F</w:t>
            </w:r>
            <w:r>
              <w:rPr>
                <w:rStyle w:val="23"/>
                <w:bdr w:val="none" w:color="auto" w:sz="0" w:space="0"/>
                <w:lang w:val="en-US" w:eastAsia="zh-CN" w:bidi="ar"/>
              </w:rPr>
              <w:t>连接头</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800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光纤</w:t>
            </w:r>
          </w:p>
        </w:tc>
        <w:tc>
          <w:tcPr>
            <w:tcW w:w="3456" w:type="dxa"/>
            <w:tcBorders>
              <w:top w:val="nil"/>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4"/>
                <w:bdr w:val="none" w:color="auto" w:sz="0" w:space="0"/>
                <w:lang w:val="en-US" w:eastAsia="zh-CN" w:bidi="ar"/>
              </w:rPr>
              <w:t>单模光纤跳线（单模光纤跳线，sc接口，3米）</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400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皮线光纤（1000米）</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弥勒钳</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光纤冷接端子</w:t>
            </w:r>
          </w:p>
        </w:tc>
        <w:tc>
          <w:tcPr>
            <w:tcW w:w="129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400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restart"/>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图像处理硬件环境搭建</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摄像头支架</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2916"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13.3寸触摸屏</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2916"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键鼠套装（罗技MK275）</w:t>
            </w:r>
          </w:p>
        </w:tc>
        <w:tc>
          <w:tcPr>
            <w:tcW w:w="129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2916"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Jetson Nano TX2 NX开发套件</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2916"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RealSense D435i双目相机</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模拟电子技术</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实验单股线</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焊锡丝</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万通板</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发光LED二极管</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5</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红外倒车测速提示器</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八路数显抢答器</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双色爆闪灯套件</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多用途密码锁</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LED流水灯圆形跑马灯</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光敏声光报警器</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光敏声光报警器套件</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声控5MM绿色LED旋律灯</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红外倒车雷达</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声控光控感应延时开关</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nil"/>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光线强度感应开关</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restart"/>
            <w:tcBorders>
              <w:top w:val="nil"/>
              <w:left w:val="single" w:color="000000" w:sz="4" w:space="0"/>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电子装配工艺</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30-60s计数定时器</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nil"/>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三人表决器焊接套件</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110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nil"/>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收音机套件</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电子产品检测与维修</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电池5号（南孚）</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电池7号（南孚）</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300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列子（日本犀牛RP系列标准直尖）</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斜口钳（绿林6寸）</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电烙铁（德国西877恒温60W可调温）</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彩电全新科武电视机主板21寸（显像管9座）</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20</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数字电子技术</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LED照明灯</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小风扇</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485转232转接头</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RGB灯带</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继电器</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无线传感网技术</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VGA分配器一分二</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RFID设计电子diy套件</w:t>
            </w:r>
          </w:p>
        </w:tc>
        <w:tc>
          <w:tcPr>
            <w:tcW w:w="0" w:type="auto"/>
            <w:tcBorders>
              <w:top w:val="single" w:color="000000" w:sz="4" w:space="0"/>
              <w:left w:val="nil"/>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nil"/>
              <w:bottom w:val="nil"/>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RFID升级版入门学习套件</w:t>
            </w:r>
          </w:p>
        </w:tc>
        <w:tc>
          <w:tcPr>
            <w:tcW w:w="0" w:type="auto"/>
            <w:tcBorders>
              <w:top w:val="single" w:color="000000" w:sz="4" w:space="0"/>
              <w:left w:val="nil"/>
              <w:bottom w:val="nil"/>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c>
          <w:tcPr>
            <w:tcW w:w="648"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zigbee开发板CC2530开发套件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291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智能电子产品设计与开发</w:t>
            </w:r>
          </w:p>
        </w:tc>
        <w:tc>
          <w:tcPr>
            <w:tcW w:w="34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史丹利工具箱家用多功能大号可堆叠工具盒塑料大手提箱电工收纳盒</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3"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nil"/>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德力西手电钻手电动螺丝刀枪工具冲击钻家用充电无刷锂电池转打孔</w:t>
            </w:r>
          </w:p>
        </w:tc>
        <w:tc>
          <w:tcPr>
            <w:tcW w:w="1296"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QUICK快克706W+数显热风焊台 手机维修热风枪电烙铁风枪二合一705</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QUICK快克236大功率无铅电焊台90W数显电烙铁电子维修焊接洛铁</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170电子剪钳II 如意斜口钳 工业斜嘴钳水口钳 模型剪塑胶钳尖嘴钳</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绿林自动剥线钳电工专用工具多功能器拔拨压扒接神器皮钳子剪线钳</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华胜工具 SN-06 裸端子压线钳0.5-6mm 可代压1.5-2.5mm护套端子</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多功能螺丝刀组合套装手机拆机工具家用电脑十字梅花起子小型万能</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SHOCREX高清20倍30高倍台式放大镜带LED冷暖灯老人阅读手机修表维修用台灯100电子焊接鉴定专用300工作台1000</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25"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5"/>
                <w:rFonts w:ascii="宋体" w:hAnsi="宋体" w:eastAsia="宋体" w:cs="宋体"/>
                <w:sz w:val="24"/>
                <w:szCs w:val="24"/>
                <w:bdr w:val="none" w:color="auto" w:sz="0" w:space="0"/>
                <w:lang w:val="en-US" w:eastAsia="zh-CN" w:bidi="ar"/>
              </w:rPr>
              <w:t>鼎阳1G 200M 双通道数字示波器SDS1202X-E，参数要求：1、双通道+1个外触发通道，通道分别具有独立旋钮控制</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2、模拟带宽200MHz</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3、实时采样率1GSa/S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4、存储深度14Mpts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5、时基档位1nS/div ~ 100S/div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6、★垂直档位500uV/div ~ 10V/div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7、14M点全采样点数据处理</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8、1M点的FFT数据量，极高的频谱分辨率</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9、★波形捕获率不小于400，000帧/秒</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10、★分段存储最大支持80,000段，以非常小的死区时间分段捕获符合条件的事件</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11、最大记录历史波形80，000帧，可通过导航菜单逐帧回放</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12、增强分辨率模式，等效增强3-bit</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13、★标配：IIC, SPI, UART, RS232, CAN, LIN触发及解码</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14、提供用户自定义Default 按键参数，实现Default 按键的个性化需求</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15、不小于38种自动测量参数，支持测量统计、Zoom 测量、Math 测量、History 测量、Ref 测量</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16、★256级辉度及色温显示</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17、7英寸显示屏，分辨率800*480        18.</w:t>
            </w:r>
            <w:r>
              <w:rPr>
                <w:rStyle w:val="26"/>
                <w:bdr w:val="none" w:color="auto" w:sz="0" w:space="0"/>
                <w:lang w:val="en-US" w:eastAsia="zh-CN" w:bidi="ar"/>
              </w:rPr>
              <w:t xml:space="preserve">提供制造商对本项目的授权书及三年质保函，不提供视为无效响应。 </w:t>
            </w:r>
            <w:r>
              <w:rPr>
                <w:rStyle w:val="25"/>
                <w:rFonts w:ascii="宋体" w:hAnsi="宋体" w:eastAsia="宋体" w:cs="宋体"/>
                <w:sz w:val="24"/>
                <w:szCs w:val="24"/>
                <w:bdr w:val="none" w:color="auto" w:sz="0" w:space="0"/>
                <w:lang w:val="en-US" w:eastAsia="zh-CN" w:bidi="ar"/>
              </w:rPr>
              <w:t xml:space="preserve">  </w:t>
            </w:r>
          </w:p>
        </w:tc>
        <w:tc>
          <w:tcPr>
            <w:tcW w:w="129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9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5"/>
                <w:rFonts w:ascii="宋体" w:hAnsi="宋体" w:eastAsia="宋体" w:cs="宋体"/>
                <w:sz w:val="24"/>
                <w:szCs w:val="24"/>
                <w:bdr w:val="none" w:color="auto" w:sz="0" w:space="0"/>
                <w:lang w:val="en-US" w:eastAsia="zh-CN" w:bidi="ar"/>
              </w:rPr>
              <w:t>鼎阳三通道可编程可调稳压直流电源SPD3303X-E，参数要求：1、 ★三路输出，总功率220W：CH1:32V/3.2A，CH2：32V/3.2A，CH3：2.5V/3.3V/5V/3.2A三路通道单独可控，电压值在设置范围内均连续可调。</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2、 最小分辨率：10mV 10mA</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3、 最高4位电压和3位电流显示</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4、 ★定时输出功能，可使电源输出电压按时间变化进行调整</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5、 通道间相互隔离</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6、 具备短路和过载保护</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7、 提供键盘锁定，防止误操作。</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8、 设定精度：电压±(0.5% reading + 2digits），电流±(0.5% reading+ 2digits）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9、 回读精度：电压±(0.5% reading + 2digits），电流±(0.5% reading+ 2digits）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10、 恒压模式 电源调整率：≤0.01% + 2mV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 xml:space="preserve">         负载调整率：≤0.01% + 2mV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 xml:space="preserve">         纹波与噪声：≤300uVrms(5Hz ~ 1MHz)</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11、 CH3  输出电压：（2.5/3.3/5V）±8%</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 xml:space="preserve">     线性调整率：≤0.01% + 2mV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 xml:space="preserve">     负载调整率：≤0.01% + 2mV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 xml:space="preserve">     纹波与噪声：≤350 uVrms(5Hz ~ 1MHz)</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12、 智能温控风扇，有效降低噪音</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13、 提供上位机软件并支持软件设定定时功能</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14、 标配USB Device，LAN等接口。</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15、 ★4.3 英寸的TFT-LCD 液晶显示屏，480 *272 高分辨率，清晰的图形化界面及波形显示</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16、 提供基于BS 架构和LAN 连接的实验室智能管理系统</w:t>
            </w:r>
            <w:r>
              <w:rPr>
                <w:rStyle w:val="25"/>
                <w:rFonts w:ascii="宋体" w:hAnsi="宋体" w:eastAsia="宋体" w:cs="宋体"/>
                <w:sz w:val="24"/>
                <w:szCs w:val="24"/>
                <w:bdr w:val="none" w:color="auto" w:sz="0" w:space="0"/>
                <w:lang w:val="en-US" w:eastAsia="zh-CN" w:bidi="ar"/>
              </w:rPr>
              <w:br w:type="textWrapping"/>
            </w:r>
            <w:r>
              <w:rPr>
                <w:rStyle w:val="26"/>
                <w:bdr w:val="none" w:color="auto" w:sz="0" w:space="0"/>
                <w:lang w:val="en-US" w:eastAsia="zh-CN" w:bidi="ar"/>
              </w:rPr>
              <w:t>17.提供制造商对本项目的授权书及三年质保函，不提供视为无效响应。</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6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4"/>
                <w:bdr w:val="none" w:color="auto" w:sz="0" w:space="0"/>
                <w:lang w:val="en-US" w:eastAsia="zh-CN" w:bidi="ar"/>
              </w:rPr>
              <w:t>鼎阳波形发生器信号源SDG2042X,        参数要求：1. 等性能双通道信号输出，正弦波输出频率1uHz~40MHz</w:t>
            </w:r>
            <w:r>
              <w:rPr>
                <w:rStyle w:val="24"/>
                <w:bdr w:val="none" w:color="auto" w:sz="0" w:space="0"/>
                <w:lang w:val="en-US" w:eastAsia="zh-CN" w:bidi="ar"/>
              </w:rPr>
              <w:br w:type="textWrapping"/>
            </w:r>
            <w:r>
              <w:rPr>
                <w:rStyle w:val="24"/>
                <w:bdr w:val="none" w:color="auto" w:sz="0" w:space="0"/>
                <w:lang w:val="en-US" w:eastAsia="zh-CN" w:bidi="ar"/>
              </w:rPr>
              <w:t>2. ★采样率≥1.1GSa/S</w:t>
            </w:r>
            <w:r>
              <w:rPr>
                <w:rStyle w:val="24"/>
                <w:bdr w:val="none" w:color="auto" w:sz="0" w:space="0"/>
                <w:lang w:val="en-US" w:eastAsia="zh-CN" w:bidi="ar"/>
              </w:rPr>
              <w:br w:type="textWrapping"/>
            </w:r>
            <w:r>
              <w:rPr>
                <w:rStyle w:val="24"/>
                <w:bdr w:val="none" w:color="auto" w:sz="0" w:space="0"/>
                <w:lang w:val="en-US" w:eastAsia="zh-CN" w:bidi="ar"/>
              </w:rPr>
              <w:t>3. ★垂直分辨率不低于15-bit</w:t>
            </w:r>
            <w:r>
              <w:rPr>
                <w:rStyle w:val="24"/>
                <w:bdr w:val="none" w:color="auto" w:sz="0" w:space="0"/>
                <w:lang w:val="en-US" w:eastAsia="zh-CN" w:bidi="ar"/>
              </w:rPr>
              <w:br w:type="textWrapping"/>
            </w:r>
            <w:r>
              <w:rPr>
                <w:rStyle w:val="24"/>
                <w:bdr w:val="none" w:color="auto" w:sz="0" w:space="0"/>
                <w:lang w:val="en-US" w:eastAsia="zh-CN" w:bidi="ar"/>
              </w:rPr>
              <w:t>4. 高斯白噪声不小于120MHz</w:t>
            </w:r>
            <w:r>
              <w:rPr>
                <w:rStyle w:val="24"/>
                <w:bdr w:val="none" w:color="auto" w:sz="0" w:space="0"/>
                <w:lang w:val="en-US" w:eastAsia="zh-CN" w:bidi="ar"/>
              </w:rPr>
              <w:br w:type="textWrapping"/>
            </w:r>
            <w:r>
              <w:rPr>
                <w:rStyle w:val="24"/>
                <w:bdr w:val="none" w:color="auto" w:sz="0" w:space="0"/>
                <w:lang w:val="en-US" w:eastAsia="zh-CN" w:bidi="ar"/>
              </w:rPr>
              <w:t>5. 任意波形长度8pts-8Mpts点</w:t>
            </w:r>
            <w:r>
              <w:rPr>
                <w:rStyle w:val="24"/>
                <w:bdr w:val="none" w:color="auto" w:sz="0" w:space="0"/>
                <w:lang w:val="en-US" w:eastAsia="zh-CN" w:bidi="ar"/>
              </w:rPr>
              <w:br w:type="textWrapping"/>
            </w:r>
            <w:r>
              <w:rPr>
                <w:rStyle w:val="24"/>
                <w:bdr w:val="none" w:color="auto" w:sz="0" w:space="0"/>
                <w:lang w:val="en-US" w:eastAsia="zh-CN" w:bidi="ar"/>
              </w:rPr>
              <w:t>6. 输出幅度(高阻)：</w:t>
            </w:r>
            <w:r>
              <w:rPr>
                <w:rStyle w:val="24"/>
                <w:bdr w:val="none" w:color="auto" w:sz="0" w:space="0"/>
                <w:lang w:val="en-US" w:eastAsia="zh-CN" w:bidi="ar"/>
              </w:rPr>
              <w:br w:type="textWrapping"/>
            </w:r>
            <w:r>
              <w:rPr>
                <w:rStyle w:val="24"/>
                <w:bdr w:val="none" w:color="auto" w:sz="0" w:space="0"/>
                <w:lang w:val="en-US" w:eastAsia="zh-CN" w:bidi="ar"/>
              </w:rPr>
              <w:t>≤20MHz: 2mVpp to 20 Vpp；      ＞20 MHz:2mVpp to 10 Vpp</w:t>
            </w:r>
            <w:r>
              <w:rPr>
                <w:rStyle w:val="24"/>
                <w:bdr w:val="none" w:color="auto" w:sz="0" w:space="0"/>
                <w:lang w:val="en-US" w:eastAsia="zh-CN" w:bidi="ar"/>
              </w:rPr>
              <w:br w:type="textWrapping"/>
            </w:r>
            <w:r>
              <w:rPr>
                <w:rStyle w:val="24"/>
                <w:bdr w:val="none" w:color="auto" w:sz="0" w:space="0"/>
                <w:lang w:val="en-US" w:eastAsia="zh-CN" w:bidi="ar"/>
              </w:rPr>
              <w:t xml:space="preserve">7. ★方波特性：上升、下降时间：不大于10nS，过冲：3%，占空比：0.001% ~ 99.999%       </w:t>
            </w:r>
            <w:r>
              <w:rPr>
                <w:rStyle w:val="24"/>
                <w:bdr w:val="none" w:color="auto" w:sz="0" w:space="0"/>
                <w:lang w:val="en-US" w:eastAsia="zh-CN" w:bidi="ar"/>
              </w:rPr>
              <w:br w:type="textWrapping"/>
            </w:r>
            <w:r>
              <w:rPr>
                <w:rStyle w:val="24"/>
                <w:bdr w:val="none" w:color="auto" w:sz="0" w:space="0"/>
                <w:lang w:val="en-US" w:eastAsia="zh-CN" w:bidi="ar"/>
              </w:rPr>
              <w:t xml:space="preserve">8. ★脉冲特性：频率：1uHz ~ 25MHz，脉宽最小：16.4ns，上升/下降时间可调：8.5n ~ 22s </w:t>
            </w:r>
            <w:r>
              <w:rPr>
                <w:rStyle w:val="24"/>
                <w:bdr w:val="none" w:color="auto" w:sz="0" w:space="0"/>
                <w:lang w:val="en-US" w:eastAsia="zh-CN" w:bidi="ar"/>
              </w:rPr>
              <w:br w:type="textWrapping"/>
            </w:r>
            <w:r>
              <w:rPr>
                <w:rStyle w:val="24"/>
                <w:bdr w:val="none" w:color="auto" w:sz="0" w:space="0"/>
                <w:lang w:val="en-US" w:eastAsia="zh-CN" w:bidi="ar"/>
              </w:rPr>
              <w:t xml:space="preserve">过冲: 3%，占空比:0.001~99.999% </w:t>
            </w:r>
            <w:r>
              <w:rPr>
                <w:rStyle w:val="24"/>
                <w:bdr w:val="none" w:color="auto" w:sz="0" w:space="0"/>
                <w:lang w:val="en-US" w:eastAsia="zh-CN" w:bidi="ar"/>
              </w:rPr>
              <w:br w:type="textWrapping"/>
            </w:r>
            <w:r>
              <w:rPr>
                <w:rStyle w:val="24"/>
                <w:bdr w:val="none" w:color="auto" w:sz="0" w:space="0"/>
                <w:lang w:val="en-US" w:eastAsia="zh-CN" w:bidi="ar"/>
              </w:rPr>
              <w:t>9. ★谐波发生器功能，可产生不小于9次谐波；谐波失真：0-10MHz（包括）＜-65dBc；10-20MHz（包括）＜-60dBc；20-40MHz（包括）＜-55dBc</w:t>
            </w:r>
            <w:r>
              <w:rPr>
                <w:rStyle w:val="24"/>
                <w:bdr w:val="none" w:color="auto" w:sz="0" w:space="0"/>
                <w:lang w:val="en-US" w:eastAsia="zh-CN" w:bidi="ar"/>
              </w:rPr>
              <w:br w:type="textWrapping"/>
            </w:r>
            <w:r>
              <w:rPr>
                <w:rStyle w:val="24"/>
                <w:bdr w:val="none" w:color="auto" w:sz="0" w:space="0"/>
                <w:lang w:val="en-US" w:eastAsia="zh-CN" w:bidi="ar"/>
              </w:rPr>
              <w:t>10. 丰富的模拟和数字调制功能：AM、DSB-AM、FM、PM、FSK、ASK和PWM</w:t>
            </w:r>
            <w:r>
              <w:rPr>
                <w:rStyle w:val="24"/>
                <w:bdr w:val="none" w:color="auto" w:sz="0" w:space="0"/>
                <w:lang w:val="en-US" w:eastAsia="zh-CN" w:bidi="ar"/>
              </w:rPr>
              <w:br w:type="textWrapping"/>
            </w:r>
            <w:r>
              <w:rPr>
                <w:rStyle w:val="24"/>
                <w:bdr w:val="none" w:color="auto" w:sz="0" w:space="0"/>
                <w:lang w:val="en-US" w:eastAsia="zh-CN" w:bidi="ar"/>
              </w:rPr>
              <w:t>11. Sweep功能与Burst功能</w:t>
            </w:r>
            <w:r>
              <w:rPr>
                <w:rStyle w:val="24"/>
                <w:bdr w:val="none" w:color="auto" w:sz="0" w:space="0"/>
                <w:lang w:val="en-US" w:eastAsia="zh-CN" w:bidi="ar"/>
              </w:rPr>
              <w:br w:type="textWrapping"/>
            </w:r>
            <w:r>
              <w:rPr>
                <w:rStyle w:val="24"/>
                <w:bdr w:val="none" w:color="auto" w:sz="0" w:space="0"/>
                <w:lang w:val="en-US" w:eastAsia="zh-CN" w:bidi="ar"/>
              </w:rPr>
              <w:t>12. 配置通道复制、通道耦合以及通道合并等功能13. 内建任意波形大于190种</w:t>
            </w:r>
            <w:r>
              <w:rPr>
                <w:rStyle w:val="24"/>
                <w:bdr w:val="none" w:color="auto" w:sz="0" w:space="0"/>
                <w:lang w:val="en-US" w:eastAsia="zh-CN" w:bidi="ar"/>
              </w:rPr>
              <w:br w:type="textWrapping"/>
            </w:r>
            <w:r>
              <w:rPr>
                <w:rStyle w:val="24"/>
                <w:bdr w:val="none" w:color="auto" w:sz="0" w:space="0"/>
                <w:lang w:val="en-US" w:eastAsia="zh-CN" w:bidi="ar"/>
              </w:rPr>
              <w:br w:type="textWrapping"/>
            </w:r>
            <w:r>
              <w:rPr>
                <w:rStyle w:val="24"/>
                <w:bdr w:val="none" w:color="auto" w:sz="0" w:space="0"/>
                <w:lang w:val="en-US" w:eastAsia="zh-CN" w:bidi="ar"/>
              </w:rPr>
              <w:t>14. 4.3英寸TFT-LCD显示屏并支持触摸操作</w:t>
            </w:r>
            <w:r>
              <w:rPr>
                <w:rStyle w:val="24"/>
                <w:bdr w:val="none" w:color="auto" w:sz="0" w:space="0"/>
                <w:lang w:val="en-US" w:eastAsia="zh-CN" w:bidi="ar"/>
              </w:rPr>
              <w:br w:type="textWrapping"/>
            </w:r>
            <w:r>
              <w:rPr>
                <w:rStyle w:val="27"/>
                <w:bdr w:val="none" w:color="auto" w:sz="0" w:space="0"/>
                <w:lang w:val="en-US" w:eastAsia="zh-CN" w:bidi="ar"/>
              </w:rPr>
              <w:t>15.提供制造商对本项目的授权书及三年质保函，不提供视为无效响应。</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85"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5"/>
                <w:rFonts w:ascii="宋体" w:hAnsi="宋体" w:eastAsia="宋体" w:cs="宋体"/>
                <w:sz w:val="24"/>
                <w:szCs w:val="24"/>
                <w:bdr w:val="none" w:color="auto" w:sz="0" w:space="0"/>
                <w:lang w:val="en-US" w:eastAsia="zh-CN" w:bidi="ar"/>
              </w:rPr>
              <w:t>鼎阳siglent台式数字万用表SDM3055X-E数字万用表          参数要求：1. 真5½位读数分辨率数字万用表(240,000 Count)</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2. 基本直流电压准确度0.015%</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3. ★测量速度150 rdgs/s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4. 测量种类:直流电压、交流电压、直流电流、交流电流、2线电阻、4线电阻、电容、二极管、连通性、频率、周期、温度</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5. 直流电压测量：200 mV，2V，20V，200V，1000V；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6. 直流电流测量：200 μA，2mA，20mA，200mA，2A，10A</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7. 交流电压测量：True-RMS，200 mV，2V，20V，200V，750V</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8. 交流电流测量：True-RMS，200μA，2mA，20mA，200mA，2A，10 A</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9. 2、4线电阻测量：200 Ω，2K，20K，200K，1M，10M，100MΩ</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10. ★支持16路（12+4）采集卡</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11. 频率与周期测量：20Hz ~ 1 MHz; 1uS ~ 0.05S</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12. ★二极管测试门限电压0--4V,可调。</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13. 具备热电偶，热电阻温度传感器温度测量。具有热电偶类型：B,E,J,K,N,R,S,T</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14. ★高精度的小电容测量特性:最小可测试2pF高精度的小电容</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15. ★具有测量最小值/最大值/平均值、dBm、dB、限值、相对（Relative）、标准差、直方图、趋势曲线、条形图测量等。</w:t>
            </w:r>
            <w:r>
              <w:rPr>
                <w:rStyle w:val="25"/>
                <w:rFonts w:ascii="宋体" w:hAnsi="宋体" w:eastAsia="宋体" w:cs="宋体"/>
                <w:sz w:val="24"/>
                <w:szCs w:val="24"/>
                <w:bdr w:val="none" w:color="auto" w:sz="0" w:space="0"/>
                <w:lang w:val="en-US" w:eastAsia="zh-CN" w:bidi="ar"/>
              </w:rPr>
              <w:br w:type="textWrapping"/>
            </w:r>
            <w:r>
              <w:rPr>
                <w:rStyle w:val="25"/>
                <w:rFonts w:ascii="宋体" w:hAnsi="宋体" w:eastAsia="宋体" w:cs="宋体"/>
                <w:sz w:val="24"/>
                <w:szCs w:val="24"/>
                <w:bdr w:val="none" w:color="auto" w:sz="0" w:space="0"/>
                <w:lang w:val="en-US" w:eastAsia="zh-CN" w:bidi="ar"/>
              </w:rPr>
              <w:t>16. ★内置 1 Gb Nand Flash 总容量，海量存储仪器设置文件和数据文件</w:t>
            </w:r>
            <w:r>
              <w:rPr>
                <w:rStyle w:val="25"/>
                <w:rFonts w:ascii="宋体" w:hAnsi="宋体" w:eastAsia="宋体" w:cs="宋体"/>
                <w:sz w:val="24"/>
                <w:szCs w:val="24"/>
                <w:bdr w:val="none" w:color="auto" w:sz="0" w:space="0"/>
                <w:lang w:val="en-US" w:eastAsia="zh-CN" w:bidi="ar"/>
              </w:rPr>
              <w:br w:type="textWrapping"/>
            </w:r>
            <w:r>
              <w:rPr>
                <w:rStyle w:val="26"/>
                <w:bdr w:val="none" w:color="auto" w:sz="0" w:space="0"/>
                <w:lang w:val="en-US" w:eastAsia="zh-CN" w:bidi="ar"/>
              </w:rPr>
              <w:t>17.提供制造商对本项目的授权书及三年质保函，不提供视为无效响应。</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456"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JLINK V9 仿真器 J-LINK V9下载器 AMR单片机 STM开发板烧录器V10</w:t>
            </w:r>
          </w:p>
        </w:tc>
        <w:tc>
          <w:tcPr>
            <w:tcW w:w="12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bdr w:val="none" w:color="auto" w:sz="0" w:space="0"/>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bl>
    <w:p>
      <w:pPr>
        <w:spacing w:line="360" w:lineRule="auto"/>
        <w:ind w:firstLine="420" w:firstLineChars="200"/>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adjustRightInd w:val="0"/>
        <w:snapToGrid w:val="0"/>
        <w:spacing w:line="360" w:lineRule="auto"/>
        <w:ind w:firstLine="420" w:firstLineChars="200"/>
        <w:rPr>
          <w:rFonts w:hint="eastAsia" w:ascii="宋体" w:hAnsi="宋体" w:cs="宋体"/>
          <w:b/>
          <w:color w:val="auto"/>
          <w:szCs w:val="21"/>
          <w:highlight w:val="none"/>
        </w:rPr>
      </w:pPr>
    </w:p>
    <w:p>
      <w:pPr>
        <w:adjustRightInd w:val="0"/>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、相关服务要求</w:t>
      </w:r>
    </w:p>
    <w:p>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因工作需要，以上所有内容必须在中标签订合同后</w:t>
      </w:r>
      <w:r>
        <w:rPr>
          <w:rFonts w:hint="eastAsia" w:ascii="宋体" w:hAnsi="宋体" w:cs="宋体"/>
          <w:color w:val="auto"/>
          <w:szCs w:val="21"/>
          <w:highlight w:val="none"/>
          <w:lang w:val="en-US" w:eastAsia="zh-CN"/>
        </w:rPr>
        <w:t>10个日历天</w:t>
      </w:r>
      <w:r>
        <w:rPr>
          <w:rFonts w:hint="eastAsia" w:ascii="宋体" w:hAnsi="宋体" w:cs="宋体"/>
          <w:color w:val="auto"/>
          <w:szCs w:val="21"/>
          <w:highlight w:val="none"/>
        </w:rPr>
        <w:t>内完成。</w:t>
      </w:r>
    </w:p>
    <w:p>
      <w:pPr>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采购合同(货物)</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项目名称：江苏旅游职业学院****采购项目</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项目编号：****号</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甲方：(买方)江苏旅游职业学院</w:t>
      </w:r>
      <w:r>
        <w:rPr>
          <w:rFonts w:hint="eastAsia" w:ascii="宋体" w:hAnsi="宋体"/>
          <w:color w:val="auto"/>
          <w:szCs w:val="21"/>
          <w:highlight w:val="none"/>
        </w:rPr>
        <w:tab/>
      </w:r>
    </w:p>
    <w:p>
      <w:pPr>
        <w:spacing w:line="360" w:lineRule="auto"/>
        <w:rPr>
          <w:rFonts w:hint="eastAsia" w:ascii="宋体" w:hAnsi="宋体"/>
          <w:color w:val="auto"/>
          <w:szCs w:val="21"/>
          <w:highlight w:val="none"/>
        </w:rPr>
      </w:pPr>
      <w:r>
        <w:rPr>
          <w:rFonts w:hint="eastAsia" w:ascii="宋体" w:hAnsi="宋体"/>
          <w:color w:val="auto"/>
          <w:szCs w:val="21"/>
          <w:highlight w:val="none"/>
        </w:rPr>
        <w:t>乙方：(卖方)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甲、乙双方根据江苏旅游职业学院江苏旅游职业学院****采购项目询价采购的结果，签署本合同。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一、货物内容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1.1 货物名称：</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 型号规格：</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 数量(单位)：</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二、合同金额</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2.1 本合同金额为(大写)：________________________元人民币。</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三、技术资料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3.1乙方应按采购文件规定的时间向甲方提供使用货物的有关技术资料。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四、知识产权</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五、产权担保</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5.1 乙方保证所交付的货物的所有权完全属于乙方且无任何抵押、查封等产权瑕疵。</w:t>
      </w:r>
    </w:p>
    <w:p>
      <w:pPr>
        <w:spacing w:line="360" w:lineRule="auto"/>
        <w:rPr>
          <w:rFonts w:hint="eastAsia" w:ascii="宋体" w:hAnsi="宋体"/>
          <w:color w:val="auto"/>
          <w:szCs w:val="21"/>
          <w:highlight w:val="none"/>
        </w:rPr>
      </w:pPr>
      <w:r>
        <w:rPr>
          <w:rFonts w:hint="eastAsia" w:ascii="宋体" w:hAnsi="宋体"/>
          <w:color w:val="auto"/>
          <w:szCs w:val="21"/>
          <w:highlight w:val="none"/>
        </w:rPr>
        <w:t>六、履约保证金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无</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七.转包或分包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7.1本合同范围的货物，应由乙方直接供应，不得转让他人供应；</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7.2 除非得到甲方的书面同意，乙方不得部分分包给他人供应。</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7.3如有转让和未经甲方同意的分包行为，甲方有权给予终止合同。</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八、质保期</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8.1 质保期  一  年。(自交货验收合格之日起计)</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九、交货期、交货方式及交货地点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9.1 交货期：合同签订生效之日起</w:t>
      </w:r>
      <w:r>
        <w:rPr>
          <w:rFonts w:hint="eastAsia" w:ascii="宋体" w:hAnsi="宋体"/>
          <w:color w:val="auto"/>
          <w:szCs w:val="21"/>
          <w:highlight w:val="none"/>
          <w:lang w:val="en-US" w:eastAsia="zh-CN"/>
        </w:rPr>
        <w:t>10</w:t>
      </w:r>
      <w:bookmarkStart w:id="11" w:name="_GoBack"/>
      <w:bookmarkEnd w:id="11"/>
      <w:r>
        <w:rPr>
          <w:rFonts w:hint="eastAsia" w:ascii="宋体" w:hAnsi="宋体"/>
          <w:color w:val="auto"/>
          <w:szCs w:val="21"/>
          <w:highlight w:val="none"/>
        </w:rPr>
        <w:t>天内交货。</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9.2 交货方式：一次性交付全部货物。</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9.3 交货地点：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 xml:space="preserve">10.1 付款方式：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货物在规定时间内到场，验收合格并经甲方审计部门确认后，十五日内甲方一次性支付合同价款。</w:t>
      </w:r>
    </w:p>
    <w:p>
      <w:pPr>
        <w:spacing w:line="360" w:lineRule="auto"/>
        <w:rPr>
          <w:rFonts w:hint="eastAsia" w:ascii="宋体" w:hAnsi="宋体"/>
          <w:color w:val="auto"/>
          <w:szCs w:val="21"/>
          <w:highlight w:val="none"/>
        </w:rPr>
      </w:pPr>
      <w:r>
        <w:rPr>
          <w:rFonts w:hint="eastAsia" w:ascii="宋体" w:hAnsi="宋体"/>
          <w:color w:val="auto"/>
          <w:szCs w:val="21"/>
          <w:highlight w:val="none"/>
        </w:rPr>
        <w:t>十一、税</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11.1本合同执行中相关的一切税费均由乙方负担。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十二、质量保证及售后服务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12.1 乙方应按采购文件规定的货物性能、技术要求、质量标准向甲方提供未经使用的全新产品，且承担所有的安装费用。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12.3乙方必须负责所提供的标识牌的质量和安全性，除因甲方原因外引发的安全问题以及所造成的损失由乙方负责。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12.4乙方提供的货物在质量期内因货物本身的质量问题发生故障，乙方应负责免费更换。对达不到技术要求者，根据实际情况，经双方协商，可按以下办法处理：</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(1)更换：由乙方承担所发生的全部费用。</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(2)贬值处理：由甲乙双方合议定价。</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(3)退货处理：乙方应退还甲方支付的合同款，同时应承担该货物的直接费用(运输、保险、检验、货款利息及银行手续费等)。</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12.5 如在使用过程中发生质量问题，乙方在接到甲方通知后2小时内响应。</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12.6 在质保期内，乙方应对货物出现的质量及安全问题负责处理解决并承担一切费用。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12.7上述的货物免费保修期为   一 年，提供免费上门维修、零配件免费更换等质保服务，因人为因素出现的故障不在免费保修范围内。超过保修期的机器设备，终生维修，维修时只收部件成本费。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十三、调试和验收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13.2 乙方交货前应对产品作出全面检查和对验收文件进行整理，并列出清单，作为甲方收货验收和使用的技术条件依据，检验的结果应随货物交甲方。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13.3 甲方对乙方提供的货物在使用前进行调试时，乙方需负责安装并培训甲方的使用操作人员，并协助甲方一起调试，直到符合技术要求，甲方才做最终验收。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13.4 对技术复杂的货物，甲方可请国家认可的专业检测机构参与初步验收及最终验收，并由其出具质量检测报告。</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13.5 验收时乙方必须在现场，验收完毕后作出验收结果报告；验收费用由甲乙双方协商解决。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十四、货物包装、发运及运输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14.1 乙方应在货物发运前对其进行满足运输距离、防潮、防震、防锈和防破损装卸等要求包装，以保证货物安全运达甲方指定地点。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14.2 使用说明书、质量检验证明书、随配附件和工具以及清单一并附于货物内。</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14.3 乙方在货物发运手续办理完毕后24小时内或货到甲方48小时前通知甲方，以准备接货。</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14.4 货物在交付甲方前发生的风险均由乙方负责。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14.5 货物在规定的交付期限内由乙方送达甲方指定的地点视为交付，乙方同时需通知甲方货物已送达。</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十五、违约责任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15.1 甲方无正当理由拒收货物的，甲方向乙方偿付拒收货款总值的百分之五违约金。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15.2 甲方无故逾期验收和办理货款支付手续的,甲方应按逾期付款总额每日万分之五向乙方支付违约金。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15.4 乙方所交的货物品种、型号、规格、技术参数、质量不符合合同规定及采购文件规定标准的，甲方有权拒收该货物并单方面解除合同，同时要求供应商赔偿损失。</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十六、不可抗力事件处理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16.1 在合同有效期内，任何一方因不可抗力事件导致不能履行合同，则合同履行期可延长，其延长期与不可抗力影响期相同。</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16.2 不可抗力事件发生后，应立即通知对方，并寄送有关权威机构出具的证明。</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16.3 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十七、诉讼</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17.1 双方在执行合同中所发生的一切争议，应通过协商解决。如协商不成，可向合同签订地法院起诉，合同签订地在此约定为扬州市。</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十八、合同生效及其它</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18.1 合同经双方法定代表人或授权委托代表人签字并加盖单位公章后生效。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18.2本合同未尽事宜，遵照《合同法》有关条文执行。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18.3 本合同正本一式四份，具有同等法律效力，甲方、乙方各执两份。</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18.4合同附件：本项目询价文件、乙方递交的询价响应文件及其它补充文件。</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 xml:space="preserve">甲方：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 xml:space="preserve">地址：                                   地址： </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联系电话：                               开户银行及行号</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帐      号：</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联系电话：</w:t>
      </w:r>
    </w:p>
    <w:p>
      <w:pPr>
        <w:spacing w:line="360" w:lineRule="auto"/>
        <w:rPr>
          <w:rFonts w:hint="eastAsia" w:ascii="宋体" w:hAnsi="宋体"/>
          <w:color w:val="auto"/>
          <w:szCs w:val="21"/>
          <w:highlight w:val="none"/>
        </w:rPr>
      </w:pPr>
      <w:r>
        <w:rPr>
          <w:rFonts w:hint="eastAsia" w:ascii="宋体" w:hAnsi="宋体"/>
          <w:color w:val="auto"/>
          <w:szCs w:val="21"/>
          <w:highlight w:val="none"/>
        </w:rPr>
        <w:tab/>
      </w:r>
    </w:p>
    <w:p>
      <w:pPr>
        <w:spacing w:line="360" w:lineRule="auto"/>
        <w:rPr>
          <w:rFonts w:ascii="宋体" w:hAnsi="宋体"/>
          <w:color w:val="auto"/>
          <w:szCs w:val="21"/>
          <w:highlight w:val="none"/>
        </w:rPr>
      </w:pPr>
      <w:r>
        <w:rPr>
          <w:rFonts w:hint="eastAsia" w:ascii="宋体" w:hAnsi="宋体"/>
          <w:color w:val="auto"/>
          <w:szCs w:val="21"/>
          <w:highlight w:val="none"/>
        </w:rPr>
        <w:t xml:space="preserve">                                                签订日期：      年  月  日</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2"/>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5"/>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0" w:name="报价方关于资格的声明函（格式）"/>
      <w:bookmarkEnd w:id="10"/>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作曲</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编曲</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ascii="Times New Roman" w:hAnsi="Times New Roman" w:cs="Times New Roman"/>
                <w:bCs/>
                <w:kern w:val="0"/>
                <w:sz w:val="24"/>
                <w:szCs w:val="24"/>
              </w:rPr>
              <w:t>乐器</w:t>
            </w:r>
            <w:r>
              <w:rPr>
                <w:rFonts w:hint="eastAsia" w:ascii="Times New Roman" w:hAnsi="Times New Roman" w:cs="Times New Roman"/>
                <w:bCs/>
                <w:kern w:val="0"/>
                <w:sz w:val="24"/>
                <w:szCs w:val="24"/>
              </w:rPr>
              <w:t>伴奏</w:t>
            </w:r>
            <w:r>
              <w:rPr>
                <w:rFonts w:ascii="Times New Roman" w:hAnsi="Times New Roman" w:cs="Times New Roman"/>
                <w:bCs/>
                <w:kern w:val="0"/>
                <w:sz w:val="24"/>
                <w:szCs w:val="24"/>
              </w:rPr>
              <w:t>录制</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男女</w:t>
            </w:r>
            <w:r>
              <w:rPr>
                <w:rFonts w:ascii="Times New Roman" w:hAnsi="Times New Roman" w:cs="Times New Roman"/>
                <w:bCs/>
                <w:kern w:val="0"/>
                <w:sz w:val="24"/>
                <w:szCs w:val="24"/>
              </w:rPr>
              <w:t>歌手范唱</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w:t>
            </w:r>
            <w:r>
              <w:rPr>
                <w:rFonts w:ascii="Times New Roman" w:hAnsi="Times New Roman" w:cs="Times New Roman"/>
                <w:bCs/>
                <w:kern w:val="0"/>
                <w:sz w:val="24"/>
                <w:szCs w:val="24"/>
              </w:rPr>
              <w:t>教学</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合唱录音</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合唱队员接送</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混音制作母带</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歌唱</w:t>
            </w:r>
            <w:r>
              <w:rPr>
                <w:rFonts w:ascii="Times New Roman" w:hAnsi="Times New Roman" w:cs="Times New Roman"/>
                <w:bCs/>
                <w:kern w:val="0"/>
                <w:sz w:val="24"/>
                <w:szCs w:val="24"/>
              </w:rPr>
              <w:t>视频拍摄</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9F5125"/>
    <w:rsid w:val="00A66A70"/>
    <w:rsid w:val="00AD48FF"/>
    <w:rsid w:val="00AD54E8"/>
    <w:rsid w:val="00B02056"/>
    <w:rsid w:val="00DC30A9"/>
    <w:rsid w:val="00E72599"/>
    <w:rsid w:val="05F01CBB"/>
    <w:rsid w:val="060E6ACB"/>
    <w:rsid w:val="07216741"/>
    <w:rsid w:val="0E5E7EC3"/>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D00372F"/>
    <w:rsid w:val="2F2E1116"/>
    <w:rsid w:val="31F40F9B"/>
    <w:rsid w:val="34633C1E"/>
    <w:rsid w:val="36201D3A"/>
    <w:rsid w:val="36512D7D"/>
    <w:rsid w:val="370F7E2A"/>
    <w:rsid w:val="372F723B"/>
    <w:rsid w:val="3B625860"/>
    <w:rsid w:val="3C111465"/>
    <w:rsid w:val="412C3D3A"/>
    <w:rsid w:val="458459A4"/>
    <w:rsid w:val="460A18DA"/>
    <w:rsid w:val="46602382"/>
    <w:rsid w:val="46EC64BB"/>
    <w:rsid w:val="470F189B"/>
    <w:rsid w:val="4B963E72"/>
    <w:rsid w:val="4DF743BE"/>
    <w:rsid w:val="4F26338E"/>
    <w:rsid w:val="507F2E1F"/>
    <w:rsid w:val="51CA5DD9"/>
    <w:rsid w:val="536A34AA"/>
    <w:rsid w:val="592F7A5F"/>
    <w:rsid w:val="59EF5A43"/>
    <w:rsid w:val="621912AD"/>
    <w:rsid w:val="62742D33"/>
    <w:rsid w:val="64060106"/>
    <w:rsid w:val="65EB0AC5"/>
    <w:rsid w:val="66722215"/>
    <w:rsid w:val="6D535020"/>
    <w:rsid w:val="6FE84551"/>
    <w:rsid w:val="72013702"/>
    <w:rsid w:val="720C1C6E"/>
    <w:rsid w:val="721813E3"/>
    <w:rsid w:val="74300DDB"/>
    <w:rsid w:val="7476021B"/>
    <w:rsid w:val="75CF0C5E"/>
    <w:rsid w:val="76A270A2"/>
    <w:rsid w:val="789A608B"/>
    <w:rsid w:val="794451A2"/>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 w:type="character" w:customStyle="1" w:styleId="22">
    <w:name w:val="font31"/>
    <w:basedOn w:val="13"/>
    <w:uiPriority w:val="0"/>
    <w:rPr>
      <w:rFonts w:hint="default" w:ascii="Times New Roman" w:hAnsi="Times New Roman" w:cs="Times New Roman"/>
      <w:color w:val="000000"/>
      <w:sz w:val="21"/>
      <w:szCs w:val="21"/>
      <w:u w:val="none"/>
    </w:rPr>
  </w:style>
  <w:style w:type="character" w:customStyle="1" w:styleId="23">
    <w:name w:val="font121"/>
    <w:basedOn w:val="13"/>
    <w:uiPriority w:val="0"/>
    <w:rPr>
      <w:rFonts w:hint="eastAsia" w:ascii="宋体" w:hAnsi="宋体" w:eastAsia="宋体" w:cs="宋体"/>
      <w:color w:val="000000"/>
      <w:sz w:val="21"/>
      <w:szCs w:val="21"/>
      <w:u w:val="none"/>
    </w:rPr>
  </w:style>
  <w:style w:type="character" w:customStyle="1" w:styleId="24">
    <w:name w:val="font11"/>
    <w:basedOn w:val="13"/>
    <w:uiPriority w:val="0"/>
    <w:rPr>
      <w:rFonts w:hint="eastAsia" w:ascii="宋体" w:hAnsi="宋体" w:eastAsia="宋体" w:cs="宋体"/>
      <w:color w:val="000000"/>
      <w:sz w:val="20"/>
      <w:szCs w:val="20"/>
      <w:u w:val="none"/>
    </w:rPr>
  </w:style>
  <w:style w:type="character" w:customStyle="1" w:styleId="25">
    <w:name w:val="font112"/>
    <w:basedOn w:val="13"/>
    <w:uiPriority w:val="0"/>
    <w:rPr>
      <w:rFonts w:hint="eastAsia" w:ascii="宋体" w:hAnsi="宋体" w:eastAsia="宋体" w:cs="宋体"/>
      <w:color w:val="000000"/>
      <w:sz w:val="18"/>
      <w:szCs w:val="18"/>
      <w:u w:val="none"/>
    </w:rPr>
  </w:style>
  <w:style w:type="character" w:customStyle="1" w:styleId="26">
    <w:name w:val="font131"/>
    <w:basedOn w:val="13"/>
    <w:uiPriority w:val="0"/>
    <w:rPr>
      <w:rFonts w:hint="eastAsia" w:ascii="宋体" w:hAnsi="宋体" w:eastAsia="宋体" w:cs="宋体"/>
      <w:color w:val="FF0000"/>
      <w:sz w:val="18"/>
      <w:szCs w:val="18"/>
      <w:u w:val="none"/>
    </w:rPr>
  </w:style>
  <w:style w:type="character" w:customStyle="1" w:styleId="27">
    <w:name w:val="font141"/>
    <w:basedOn w:val="13"/>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29</Pages>
  <Words>12161</Words>
  <Characters>13459</Characters>
  <Lines>107</Lines>
  <Paragraphs>30</Paragraphs>
  <TotalTime>12</TotalTime>
  <ScaleCrop>false</ScaleCrop>
  <LinksUpToDate>false</LinksUpToDate>
  <CharactersWithSpaces>14307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2023-05-23T08:03:35Z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