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rPr>
          <w:rFonts w:ascii="Times New Roman"/>
          <w:sz w:val="20"/>
        </w:rPr>
      </w:pPr>
      <w:bookmarkStart w:id="0" w:name="_GoBack"/>
      <w:bookmarkEnd w:id="0"/>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ind w:left="0"/>
        <w:rPr>
          <w:rFonts w:ascii="Times New Roman"/>
          <w:sz w:val="20"/>
        </w:rPr>
      </w:pPr>
    </w:p>
    <w:p>
      <w:pPr>
        <w:pStyle w:val="3"/>
        <w:tabs>
          <w:tab w:val="left" w:pos="3920"/>
        </w:tabs>
        <w:spacing w:before="175"/>
        <w:ind w:left="0" w:right="656"/>
        <w:jc w:val="center"/>
      </w:pPr>
      <w:r>
        <w:t>苏旅院（2020）4</w:t>
      </w:r>
      <w:r>
        <w:rPr>
          <w:spacing w:val="-82"/>
        </w:rPr>
        <w:t xml:space="preserve"> </w:t>
      </w:r>
      <w:r>
        <w:t>号</w:t>
      </w:r>
      <w:r>
        <w:tab/>
      </w:r>
      <w:r>
        <w:t>签发人：周春光</w:t>
      </w:r>
    </w:p>
    <w:p>
      <w:pPr>
        <w:pStyle w:val="3"/>
        <w:ind w:left="0"/>
      </w:pPr>
    </w:p>
    <w:p>
      <w:pPr>
        <w:pStyle w:val="3"/>
        <w:spacing w:before="6"/>
        <w:ind w:left="0"/>
        <w:rPr>
          <w:sz w:val="23"/>
        </w:rPr>
      </w:pPr>
    </w:p>
    <w:p>
      <w:pPr>
        <w:spacing w:before="0" w:line="674" w:lineRule="exact"/>
        <w:ind w:left="0" w:right="665" w:firstLine="0"/>
        <w:jc w:val="center"/>
        <w:rPr>
          <w:rFonts w:hint="eastAsia" w:ascii="华文中宋" w:eastAsia="华文中宋"/>
          <w:b/>
          <w:sz w:val="44"/>
        </w:rPr>
      </w:pPr>
      <w:r>
        <w:rPr>
          <w:rFonts w:hint="eastAsia" w:ascii="华文中宋" w:eastAsia="华文中宋"/>
          <w:b/>
          <w:sz w:val="44"/>
        </w:rPr>
        <w:t>江苏旅游职业学院学分制管理办法</w:t>
      </w:r>
    </w:p>
    <w:p>
      <w:pPr>
        <w:spacing w:before="0" w:line="547" w:lineRule="exact"/>
        <w:ind w:left="0" w:right="658" w:firstLine="0"/>
        <w:jc w:val="center"/>
        <w:rPr>
          <w:rFonts w:hint="eastAsia" w:ascii="华文中宋" w:eastAsia="华文中宋"/>
          <w:sz w:val="36"/>
        </w:rPr>
      </w:pPr>
      <w:r>
        <w:rPr>
          <w:rFonts w:hint="eastAsia" w:ascii="华文中宋" w:eastAsia="华文中宋"/>
          <w:sz w:val="36"/>
        </w:rPr>
        <w:t>(试行)</w:t>
      </w:r>
    </w:p>
    <w:p>
      <w:pPr>
        <w:pStyle w:val="3"/>
        <w:spacing w:before="5"/>
        <w:ind w:left="0"/>
        <w:rPr>
          <w:rFonts w:ascii="华文中宋"/>
          <w:sz w:val="51"/>
        </w:rPr>
      </w:pPr>
    </w:p>
    <w:p>
      <w:pPr>
        <w:pStyle w:val="2"/>
        <w:tabs>
          <w:tab w:val="left" w:pos="4716"/>
        </w:tabs>
        <w:spacing w:before="0"/>
        <w:ind w:left="3430"/>
        <w:jc w:val="left"/>
      </w:pPr>
      <w:r>
        <w:t>第一章</w:t>
      </w:r>
      <w:r>
        <w:tab/>
      </w:r>
      <w:r>
        <w:t>总则</w:t>
      </w:r>
    </w:p>
    <w:p>
      <w:pPr>
        <w:pStyle w:val="3"/>
        <w:tabs>
          <w:tab w:val="left" w:pos="2167"/>
        </w:tabs>
        <w:spacing w:before="214" w:line="364" w:lineRule="auto"/>
        <w:ind w:right="740" w:firstLine="643"/>
      </w:pPr>
      <w:r>
        <w:rPr>
          <w:b/>
        </w:rPr>
        <w:t>第一条</w:t>
      </w:r>
      <w:r>
        <w:rPr>
          <w:b/>
        </w:rPr>
        <w:tab/>
      </w:r>
      <w:r>
        <w:rPr>
          <w:spacing w:val="3"/>
        </w:rPr>
        <w:t>为</w:t>
      </w:r>
      <w:r>
        <w:t>进一步深化教育教学改革</w:t>
      </w:r>
      <w:r>
        <w:rPr>
          <w:spacing w:val="-20"/>
        </w:rPr>
        <w:t>，</w:t>
      </w:r>
      <w:r>
        <w:t>调动学生的学习</w:t>
      </w:r>
      <w:r>
        <w:rPr>
          <w:spacing w:val="7"/>
          <w:w w:val="95"/>
        </w:rPr>
        <w:t>积极性和主</w:t>
      </w:r>
      <w:r>
        <w:rPr>
          <w:spacing w:val="4"/>
          <w:w w:val="95"/>
        </w:rPr>
        <w:t>动性</w:t>
      </w:r>
      <w:r>
        <w:rPr>
          <w:spacing w:val="7"/>
          <w:w w:val="95"/>
        </w:rPr>
        <w:t>，促进学</w:t>
      </w:r>
      <w:r>
        <w:rPr>
          <w:spacing w:val="9"/>
          <w:w w:val="95"/>
        </w:rPr>
        <w:t>生</w:t>
      </w:r>
      <w:r>
        <w:rPr>
          <w:spacing w:val="4"/>
          <w:w w:val="95"/>
        </w:rPr>
        <w:t>全面</w:t>
      </w:r>
      <w:r>
        <w:rPr>
          <w:spacing w:val="7"/>
          <w:w w:val="95"/>
        </w:rPr>
        <w:t>发</w:t>
      </w:r>
      <w:r>
        <w:rPr>
          <w:spacing w:val="8"/>
          <w:w w:val="95"/>
        </w:rPr>
        <w:t>展</w:t>
      </w:r>
      <w:r>
        <w:rPr>
          <w:spacing w:val="7"/>
          <w:w w:val="95"/>
        </w:rPr>
        <w:t>，实现</w:t>
      </w:r>
      <w:r>
        <w:rPr>
          <w:spacing w:val="4"/>
          <w:w w:val="95"/>
        </w:rPr>
        <w:t>学生</w:t>
      </w:r>
      <w:r>
        <w:rPr>
          <w:spacing w:val="7"/>
          <w:w w:val="95"/>
        </w:rPr>
        <w:t>的多样化</w:t>
      </w:r>
      <w:r>
        <w:rPr>
          <w:spacing w:val="-13"/>
          <w:w w:val="95"/>
        </w:rPr>
        <w:t xml:space="preserve">、 </w:t>
      </w:r>
      <w:r>
        <w:t>自主化发展</w:t>
      </w:r>
      <w:r>
        <w:rPr>
          <w:spacing w:val="-8"/>
        </w:rPr>
        <w:t>，</w:t>
      </w:r>
      <w:r>
        <w:t>不断提高我校人才培养质量</w:t>
      </w:r>
      <w:r>
        <w:rPr>
          <w:spacing w:val="-8"/>
        </w:rPr>
        <w:t>，</w:t>
      </w:r>
      <w:r>
        <w:t>结合学校试行学分制的实际情况，特制订本实施办法。</w:t>
      </w:r>
    </w:p>
    <w:p>
      <w:pPr>
        <w:pStyle w:val="3"/>
        <w:spacing w:before="4" w:line="364" w:lineRule="auto"/>
        <w:ind w:right="750" w:firstLine="643"/>
        <w:jc w:val="both"/>
      </w:pPr>
      <w:r>
        <w:rPr>
          <w:b/>
        </w:rPr>
        <w:t xml:space="preserve">第二条  </w:t>
      </w:r>
      <w:r>
        <w:t>学分制是一种以学生取得的学分数作为衡量和计算学生学习量的基本单位，以学分绩点衡量学生学习质</w:t>
      </w:r>
      <w:r>
        <w:rPr>
          <w:w w:val="95"/>
        </w:rPr>
        <w:t>量，以学生取得最低总学分作为毕业标准的教学管理制度。</w:t>
      </w:r>
    </w:p>
    <w:p>
      <w:pPr>
        <w:pStyle w:val="3"/>
        <w:spacing w:before="3"/>
        <w:ind w:left="883"/>
        <w:jc w:val="both"/>
      </w:pPr>
      <w:r>
        <w:rPr>
          <w:b/>
        </w:rPr>
        <w:t xml:space="preserve">第三条 </w:t>
      </w:r>
      <w:r>
        <w:t>本办法适用于全日制高职在籍学生。</w:t>
      </w:r>
    </w:p>
    <w:p>
      <w:pPr>
        <w:spacing w:after="0"/>
        <w:jc w:val="both"/>
        <w:sectPr>
          <w:type w:val="continuous"/>
          <w:pgSz w:w="11910" w:h="16840"/>
          <w:pgMar w:top="1580" w:right="900" w:bottom="280" w:left="1560" w:header="720" w:footer="720" w:gutter="0"/>
        </w:sectPr>
      </w:pPr>
    </w:p>
    <w:p>
      <w:pPr>
        <w:pStyle w:val="2"/>
        <w:ind w:left="2948"/>
      </w:pPr>
      <w:r>
        <w:t>第二章 课程与学分</w:t>
      </w:r>
    </w:p>
    <w:p>
      <w:pPr>
        <w:pStyle w:val="3"/>
        <w:spacing w:before="213" w:line="364" w:lineRule="auto"/>
        <w:ind w:right="743" w:firstLine="643"/>
        <w:jc w:val="both"/>
      </w:pPr>
      <w:r>
        <w:rPr>
          <w:b/>
        </w:rPr>
        <w:t xml:space="preserve">第四条 </w:t>
      </w:r>
      <w:r>
        <w:t>各专业开设的课程分为必修课和选修课两类， 对应的学分为必修学分和选修学分。</w:t>
      </w:r>
    </w:p>
    <w:p>
      <w:pPr>
        <w:pStyle w:val="3"/>
        <w:spacing w:before="40" w:line="338" w:lineRule="auto"/>
        <w:ind w:right="750" w:firstLine="640"/>
        <w:jc w:val="both"/>
      </w:pPr>
      <w:r>
        <w:t>（一</w:t>
      </w:r>
      <w:r>
        <w:rPr>
          <w:spacing w:val="-5"/>
        </w:rPr>
        <w:t>）</w:t>
      </w:r>
      <w:r>
        <w:rPr>
          <w:spacing w:val="-3"/>
        </w:rPr>
        <w:t>必修课：指按专业培养目标，要求学生必须修读</w:t>
      </w:r>
      <w:r>
        <w:rPr>
          <w:spacing w:val="-5"/>
        </w:rPr>
        <w:t>并取得学分的课程，包括公共必修课、专业必修课。公共必</w:t>
      </w:r>
      <w:r>
        <w:rPr>
          <w:spacing w:val="-6"/>
        </w:rPr>
        <w:t>修课包括思想道德修养与法律基础、毛泽东思想和中国特色社会主义理论体系概论、形势与政策、大学英语、学业指导与入学教育、军事理论、军事技能训练、大学生心理健康与</w:t>
      </w:r>
      <w:r>
        <w:rPr>
          <w:spacing w:val="-5"/>
        </w:rPr>
        <w:t>发展、创业教育、就业指导与职业素养提升、计算机应用基</w:t>
      </w:r>
      <w:r>
        <w:rPr>
          <w:spacing w:val="3"/>
          <w:w w:val="95"/>
        </w:rPr>
        <w:t>础、体育等；专业必修课由各专业根据人才培养目标确定。</w:t>
      </w:r>
    </w:p>
    <w:p>
      <w:pPr>
        <w:pStyle w:val="3"/>
        <w:spacing w:line="386" w:lineRule="exact"/>
        <w:ind w:left="881"/>
      </w:pPr>
      <w:r>
        <w:rPr>
          <w:w w:val="95"/>
        </w:rPr>
        <w:t>（二</w:t>
      </w:r>
      <w:r>
        <w:rPr>
          <w:spacing w:val="-3"/>
          <w:w w:val="95"/>
        </w:rPr>
        <w:t>）</w:t>
      </w:r>
      <w:r>
        <w:rPr>
          <w:spacing w:val="-2"/>
          <w:w w:val="95"/>
        </w:rPr>
        <w:t>选修课：指为深化、拓展专业知识，提高学生综</w:t>
      </w:r>
    </w:p>
    <w:p>
      <w:pPr>
        <w:pStyle w:val="3"/>
        <w:spacing w:before="215" w:line="364" w:lineRule="auto"/>
        <w:ind w:right="740"/>
      </w:pPr>
      <w:r>
        <w:rPr>
          <w:spacing w:val="-1"/>
        </w:rPr>
        <w:t>合素质和职业能力而设置的课程，包括公共选修课和专业选</w:t>
      </w:r>
      <w:r>
        <w:rPr>
          <w:spacing w:val="-4"/>
        </w:rPr>
        <w:t>修课。公共选修课是指为提升学生基本素养，扩大学生知识</w:t>
      </w:r>
      <w:r>
        <w:rPr>
          <w:spacing w:val="-15"/>
        </w:rPr>
        <w:t xml:space="preserve">面，满足学生兴趣爱好，发展学生特长和潜能而设置的课程； </w:t>
      </w:r>
      <w:r>
        <w:rPr>
          <w:spacing w:val="-3"/>
        </w:rPr>
        <w:t>其中美育课程、安全教育课程等为限定选修课。专业选修课</w:t>
      </w:r>
      <w:r>
        <w:rPr>
          <w:spacing w:val="3"/>
          <w:w w:val="95"/>
        </w:rPr>
        <w:t>是指为深化、拓宽专业知识和培养职业技能而设置的课程。</w:t>
      </w:r>
    </w:p>
    <w:p>
      <w:pPr>
        <w:pStyle w:val="3"/>
        <w:spacing w:before="4" w:line="364" w:lineRule="auto"/>
        <w:ind w:right="898" w:firstLine="643"/>
        <w:jc w:val="both"/>
      </w:pPr>
      <w:r>
        <w:rPr>
          <w:b/>
          <w:spacing w:val="38"/>
        </w:rPr>
        <w:t xml:space="preserve">第五条 </w:t>
      </w:r>
      <w:r>
        <w:rPr>
          <w:spacing w:val="-3"/>
        </w:rPr>
        <w:t>学分要求是实施学分制教学、衡量学生能否毕</w:t>
      </w:r>
      <w:r>
        <w:rPr>
          <w:spacing w:val="-4"/>
        </w:rPr>
        <w:t>业的重要依据。学分记为课程学分和非课程学分。课程学分</w:t>
      </w:r>
      <w:r>
        <w:rPr>
          <w:spacing w:val="-2"/>
        </w:rPr>
        <w:t>一般以该课程在人才培养方案中的课时为依据，并适当考虑课程的分层教学改革等情况；非课程学分是指对学生的操行</w:t>
      </w:r>
      <w:r>
        <w:rPr>
          <w:spacing w:val="-3"/>
        </w:rPr>
        <w:t>考核和学生参加各级、各类教学活动等获得奖励的个性化学</w:t>
      </w:r>
      <w:r>
        <w:t>分。</w:t>
      </w:r>
    </w:p>
    <w:p>
      <w:pPr>
        <w:pStyle w:val="3"/>
        <w:spacing w:before="6"/>
        <w:ind w:left="881"/>
      </w:pPr>
      <w:r>
        <w:t>（一</w:t>
      </w:r>
      <w:r>
        <w:rPr>
          <w:spacing w:val="-111"/>
        </w:rPr>
        <w:t>）</w:t>
      </w:r>
      <w:r>
        <w:rPr>
          <w:spacing w:val="-17"/>
        </w:rPr>
        <w:t>课程学分：凡纳入人才培养方案中的理论课程</w:t>
      </w:r>
      <w:r>
        <w:t>（理</w:t>
      </w:r>
    </w:p>
    <w:p>
      <w:pPr>
        <w:spacing w:after="0"/>
        <w:sectPr>
          <w:pgSz w:w="11910" w:h="16840"/>
          <w:pgMar w:top="1500" w:right="900" w:bottom="280" w:left="1560" w:header="720" w:footer="720" w:gutter="0"/>
        </w:sectPr>
      </w:pPr>
    </w:p>
    <w:p>
      <w:pPr>
        <w:pStyle w:val="3"/>
        <w:spacing w:before="27"/>
        <w:jc w:val="both"/>
      </w:pPr>
      <w:r>
        <w:t>实一体化课程、含不独立开设的实验等）</w:t>
      </w:r>
      <w:r>
        <w:rPr>
          <w:spacing w:val="-21"/>
        </w:rPr>
        <w:t xml:space="preserve">按 </w:t>
      </w:r>
      <w:r>
        <w:t>16</w:t>
      </w:r>
      <w:r>
        <w:rPr>
          <w:spacing w:val="-19"/>
        </w:rPr>
        <w:t xml:space="preserve"> 学时计 </w:t>
      </w:r>
      <w:r>
        <w:t>1</w:t>
      </w:r>
      <w:r>
        <w:rPr>
          <w:spacing w:val="-23"/>
        </w:rPr>
        <w:t xml:space="preserve"> 学</w:t>
      </w:r>
    </w:p>
    <w:p>
      <w:pPr>
        <w:pStyle w:val="3"/>
        <w:spacing w:before="213" w:line="364" w:lineRule="auto"/>
        <w:ind w:right="896"/>
        <w:jc w:val="both"/>
      </w:pPr>
      <w:r>
        <w:rPr>
          <w:spacing w:val="-12"/>
        </w:rPr>
        <w:t xml:space="preserve">分，最小单位为 </w:t>
      </w:r>
      <w:r>
        <w:t>0.5</w:t>
      </w:r>
      <w:r>
        <w:rPr>
          <w:spacing w:val="-20"/>
        </w:rPr>
        <w:t xml:space="preserve"> 学分，原则上以 </w:t>
      </w:r>
      <w:r>
        <w:t>8</w:t>
      </w:r>
      <w:r>
        <w:rPr>
          <w:spacing w:val="-12"/>
        </w:rPr>
        <w:t xml:space="preserve"> 学时为一个模数，课</w:t>
      </w:r>
      <w:r>
        <w:rPr>
          <w:spacing w:val="-9"/>
        </w:rPr>
        <w:t xml:space="preserve">程总学时应为模数的倍数，若不足 </w:t>
      </w:r>
      <w:r>
        <w:t>16</w:t>
      </w:r>
      <w:r>
        <w:rPr>
          <w:spacing w:val="-27"/>
        </w:rPr>
        <w:t xml:space="preserve"> 学时，</w:t>
      </w:r>
      <w:r>
        <w:rPr>
          <w:spacing w:val="-23"/>
        </w:rPr>
        <w:t>8</w:t>
      </w:r>
      <w:r>
        <w:rPr>
          <w:spacing w:val="-15"/>
        </w:rPr>
        <w:t xml:space="preserve"> 学时以下不记</w:t>
      </w:r>
      <w:r>
        <w:t>学分、8-12</w:t>
      </w:r>
      <w:r>
        <w:rPr>
          <w:spacing w:val="-23"/>
        </w:rPr>
        <w:t xml:space="preserve"> 学时记 </w:t>
      </w:r>
      <w:r>
        <w:t>0.5</w:t>
      </w:r>
      <w:r>
        <w:rPr>
          <w:spacing w:val="-15"/>
        </w:rPr>
        <w:t xml:space="preserve"> 学分、</w:t>
      </w:r>
      <w:r>
        <w:t>12</w:t>
      </w:r>
      <w:r>
        <w:rPr>
          <w:spacing w:val="-17"/>
        </w:rPr>
        <w:t xml:space="preserve"> 学时以上计 </w:t>
      </w:r>
      <w:r>
        <w:t>1</w:t>
      </w:r>
      <w:r>
        <w:rPr>
          <w:spacing w:val="-12"/>
        </w:rPr>
        <w:t xml:space="preserve"> 学分；集中</w:t>
      </w:r>
    </w:p>
    <w:p>
      <w:pPr>
        <w:pStyle w:val="3"/>
        <w:spacing w:before="3" w:line="364" w:lineRule="auto"/>
        <w:ind w:right="744"/>
      </w:pPr>
      <w:r>
        <w:rPr>
          <w:spacing w:val="7"/>
          <w:w w:val="95"/>
        </w:rPr>
        <w:t>（</w:t>
      </w:r>
      <w:r>
        <w:rPr>
          <w:spacing w:val="4"/>
          <w:w w:val="95"/>
        </w:rPr>
        <w:t>占用整周教学时间且单独记载成绩</w:t>
      </w:r>
      <w:r>
        <w:rPr>
          <w:spacing w:val="7"/>
          <w:w w:val="95"/>
        </w:rPr>
        <w:t>）</w:t>
      </w:r>
      <w:r>
        <w:rPr>
          <w:spacing w:val="5"/>
          <w:w w:val="95"/>
        </w:rPr>
        <w:t>的实践教学</w:t>
      </w:r>
      <w:r>
        <w:rPr>
          <w:spacing w:val="7"/>
          <w:w w:val="95"/>
        </w:rPr>
        <w:t>（</w:t>
      </w:r>
      <w:r>
        <w:rPr>
          <w:w w:val="95"/>
        </w:rPr>
        <w:t xml:space="preserve">军训、 </w:t>
      </w:r>
      <w:r>
        <w:rPr>
          <w:spacing w:val="-3"/>
        </w:rPr>
        <w:t>入学教育、课程实训、课程设计、毕业设计</w:t>
      </w:r>
      <w:r>
        <w:t>（论文</w:t>
      </w:r>
      <w:r>
        <w:rPr>
          <w:spacing w:val="-3"/>
        </w:rPr>
        <w:t>）</w:t>
      </w:r>
      <w:r>
        <w:rPr>
          <w:spacing w:val="-2"/>
        </w:rPr>
        <w:t>、顶岗实习</w:t>
      </w:r>
      <w:r>
        <w:rPr>
          <w:spacing w:val="-22"/>
        </w:rPr>
        <w:t>）</w:t>
      </w:r>
      <w:r>
        <w:rPr>
          <w:spacing w:val="-21"/>
        </w:rPr>
        <w:t xml:space="preserve">每周计 </w:t>
      </w:r>
      <w:r>
        <w:t>1</w:t>
      </w:r>
      <w:r>
        <w:rPr>
          <w:spacing w:val="-27"/>
        </w:rPr>
        <w:t xml:space="preserve"> 学分、</w:t>
      </w:r>
      <w:r>
        <w:t>28</w:t>
      </w:r>
      <w:r>
        <w:rPr>
          <w:spacing w:val="-12"/>
        </w:rPr>
        <w:t xml:space="preserve"> 学时；分散进行的环节，累计达一</w:t>
      </w:r>
      <w:r>
        <w:rPr>
          <w:spacing w:val="-30"/>
        </w:rPr>
        <w:t xml:space="preserve">周的计 </w:t>
      </w:r>
      <w:r>
        <w:t>2</w:t>
      </w:r>
      <w:r>
        <w:rPr>
          <w:spacing w:val="-24"/>
        </w:rPr>
        <w:t xml:space="preserve"> 学分，半周以上不足一周计 </w:t>
      </w:r>
      <w:r>
        <w:t>1</w:t>
      </w:r>
      <w:r>
        <w:rPr>
          <w:spacing w:val="-30"/>
        </w:rPr>
        <w:t xml:space="preserve"> 学分，半周以下计 </w:t>
      </w:r>
      <w:r>
        <w:t>0.5 学分。</w:t>
      </w:r>
    </w:p>
    <w:p>
      <w:pPr>
        <w:pStyle w:val="3"/>
        <w:spacing w:before="5" w:line="364" w:lineRule="auto"/>
        <w:ind w:right="897" w:firstLine="640"/>
        <w:jc w:val="both"/>
      </w:pPr>
      <w:r>
        <w:rPr>
          <w:spacing w:val="-3"/>
        </w:rPr>
        <w:t>(二)非课程学分：为鼓励学生自主学习，设立的个性化</w:t>
      </w:r>
      <w:r>
        <w:rPr>
          <w:spacing w:val="-4"/>
        </w:rPr>
        <w:t>奖励学分，可以在一定条件下置换高等学院英语应用能力考</w:t>
      </w:r>
      <w:r>
        <w:rPr>
          <w:spacing w:val="-22"/>
        </w:rPr>
        <w:t xml:space="preserve">试 </w:t>
      </w:r>
      <w:r>
        <w:t>A、B</w:t>
      </w:r>
      <w:r>
        <w:rPr>
          <w:spacing w:val="-10"/>
        </w:rPr>
        <w:t xml:space="preserve"> 证书、全国计算机等级考试一级 </w:t>
      </w:r>
      <w:r>
        <w:t>B</w:t>
      </w:r>
      <w:r>
        <w:rPr>
          <w:spacing w:val="-9"/>
        </w:rPr>
        <w:t xml:space="preserve"> 证书、专业选修</w:t>
      </w:r>
      <w:r>
        <w:rPr>
          <w:spacing w:val="-3"/>
        </w:rPr>
        <w:t>课及允许置换必修课程等学分要求。具体管理参照《江苏旅</w:t>
      </w:r>
      <w:r>
        <w:t>游职业学院特色学分认定管理办法》。</w:t>
      </w:r>
    </w:p>
    <w:p>
      <w:pPr>
        <w:pStyle w:val="7"/>
        <w:numPr>
          <w:ilvl w:val="0"/>
          <w:numId w:val="1"/>
        </w:numPr>
        <w:tabs>
          <w:tab w:val="left" w:pos="1362"/>
        </w:tabs>
        <w:spacing w:before="4" w:after="0" w:line="240" w:lineRule="auto"/>
        <w:ind w:left="1361" w:right="0" w:hanging="481"/>
        <w:jc w:val="both"/>
        <w:rPr>
          <w:sz w:val="32"/>
        </w:rPr>
      </w:pPr>
      <w:r>
        <w:rPr>
          <w:sz w:val="32"/>
        </w:rPr>
        <w:t>专业知识与技能实践学分</w:t>
      </w:r>
    </w:p>
    <w:p>
      <w:pPr>
        <w:pStyle w:val="3"/>
        <w:spacing w:before="214" w:line="364" w:lineRule="auto"/>
        <w:ind w:right="734" w:firstLine="640"/>
      </w:pPr>
      <w:r>
        <w:rPr>
          <w:spacing w:val="6"/>
          <w:w w:val="95"/>
        </w:rPr>
        <w:t xml:space="preserve">专业知识与技能实践学分是指全日制在校生在校期间， </w:t>
      </w:r>
      <w:r>
        <w:rPr>
          <w:spacing w:val="-2"/>
        </w:rPr>
        <w:t>在职业能力证书获取、专业社团活动和职业技能竞赛等方面取得的成绩，通过申请和认定后所获得的相应学分。</w:t>
      </w:r>
    </w:p>
    <w:p>
      <w:pPr>
        <w:pStyle w:val="7"/>
        <w:numPr>
          <w:ilvl w:val="0"/>
          <w:numId w:val="1"/>
        </w:numPr>
        <w:tabs>
          <w:tab w:val="left" w:pos="1203"/>
        </w:tabs>
        <w:spacing w:before="3" w:after="0" w:line="240" w:lineRule="auto"/>
        <w:ind w:left="1202" w:right="0" w:hanging="322"/>
        <w:jc w:val="left"/>
        <w:rPr>
          <w:sz w:val="32"/>
        </w:rPr>
      </w:pPr>
      <w:r>
        <w:rPr>
          <w:sz w:val="32"/>
        </w:rPr>
        <w:t>创新创业类学分</w:t>
      </w:r>
    </w:p>
    <w:p>
      <w:pPr>
        <w:pStyle w:val="3"/>
        <w:spacing w:before="214" w:line="364" w:lineRule="auto"/>
        <w:ind w:right="898" w:firstLine="640"/>
        <w:jc w:val="both"/>
      </w:pPr>
      <w:r>
        <w:rPr>
          <w:spacing w:val="-2"/>
        </w:rPr>
        <w:t>创新创业学分是指全日制在校生在校期间，经学校认定</w:t>
      </w:r>
      <w:r>
        <w:rPr>
          <w:spacing w:val="-4"/>
        </w:rPr>
        <w:t>的科学研究、发明创造、技术开发、发表论文及作品等方面</w:t>
      </w:r>
      <w:r>
        <w:rPr>
          <w:spacing w:val="-3"/>
        </w:rPr>
        <w:t>取得成果及参加创新创业大赛、创办小微企业等创新创业项</w:t>
      </w:r>
    </w:p>
    <w:p>
      <w:pPr>
        <w:spacing w:after="0" w:line="364" w:lineRule="auto"/>
        <w:jc w:val="both"/>
        <w:sectPr>
          <w:pgSz w:w="11910" w:h="16840"/>
          <w:pgMar w:top="1500" w:right="900" w:bottom="280" w:left="1560" w:header="720" w:footer="720" w:gutter="0"/>
        </w:sectPr>
      </w:pPr>
    </w:p>
    <w:p>
      <w:pPr>
        <w:pStyle w:val="3"/>
        <w:spacing w:before="27" w:line="364" w:lineRule="auto"/>
        <w:ind w:left="881" w:right="3125" w:hanging="641"/>
      </w:pPr>
      <w:r>
        <w:t>目，通过申请和认定后所获得的相应学分。3．活动实践总学分</w:t>
      </w:r>
    </w:p>
    <w:p>
      <w:pPr>
        <w:pStyle w:val="3"/>
        <w:spacing w:before="1" w:line="364" w:lineRule="auto"/>
        <w:ind w:right="899" w:firstLine="640"/>
        <w:jc w:val="both"/>
      </w:pPr>
      <w:r>
        <w:rPr>
          <w:spacing w:val="-3"/>
        </w:rPr>
        <w:t>参加大学生课外各类竞赛，参加校园公益劳动、寒暑假</w:t>
      </w:r>
      <w:r>
        <w:rPr>
          <w:spacing w:val="-4"/>
        </w:rPr>
        <w:t>大学生社会实践、志愿服务活动、科技文化艺术节、社团文化艺术节、心理健康教育活动月等系列活动，通过申请和认</w:t>
      </w:r>
      <w:r>
        <w:t>定后所获得的相应学分。</w:t>
      </w:r>
    </w:p>
    <w:p>
      <w:pPr>
        <w:pStyle w:val="3"/>
        <w:spacing w:before="4" w:line="364" w:lineRule="auto"/>
        <w:ind w:right="891" w:firstLine="640"/>
        <w:jc w:val="both"/>
      </w:pPr>
      <w:r>
        <w:t>非课程学分可以充抵选修课学分，但最高只能充抵 20 学分，绩点按照 2 个绩点/学分计算 。</w:t>
      </w:r>
    </w:p>
    <w:p>
      <w:pPr>
        <w:pStyle w:val="3"/>
        <w:spacing w:before="2" w:line="364" w:lineRule="auto"/>
        <w:ind w:right="901" w:firstLine="643"/>
        <w:jc w:val="both"/>
      </w:pPr>
      <w:r>
        <w:rPr>
          <w:b/>
        </w:rPr>
        <w:t xml:space="preserve">第六条 </w:t>
      </w:r>
      <w:r>
        <w:t>各专业最低总学分按各专业人才培养方案要求执行，学生按要求修读完毕要求总学分方可毕业。</w:t>
      </w:r>
    </w:p>
    <w:p>
      <w:pPr>
        <w:pStyle w:val="2"/>
        <w:spacing w:before="1"/>
      </w:pPr>
      <w:r>
        <w:t>第三章 课程修读</w:t>
      </w:r>
    </w:p>
    <w:p>
      <w:pPr>
        <w:pStyle w:val="3"/>
        <w:spacing w:before="214" w:line="364" w:lineRule="auto"/>
        <w:ind w:right="898" w:firstLine="643"/>
        <w:jc w:val="both"/>
      </w:pPr>
      <w:r>
        <w:rPr>
          <w:b/>
          <w:spacing w:val="38"/>
        </w:rPr>
        <w:t xml:space="preserve">第七条 </w:t>
      </w:r>
      <w:r>
        <w:rPr>
          <w:spacing w:val="-5"/>
        </w:rPr>
        <w:t>学生入学后，除须按培养方案修读必修的课程外，还应根据学校有关规定并结合个人的兴趣、志向和条件</w:t>
      </w:r>
      <w:r>
        <w:t>等实际情况选修课程，获取学分。</w:t>
      </w:r>
    </w:p>
    <w:p>
      <w:pPr>
        <w:pStyle w:val="3"/>
        <w:tabs>
          <w:tab w:val="left" w:pos="1591"/>
          <w:tab w:val="left" w:pos="2234"/>
        </w:tabs>
        <w:spacing w:before="3" w:line="364" w:lineRule="auto"/>
        <w:ind w:right="897" w:firstLine="643"/>
        <w:jc w:val="right"/>
      </w:pPr>
      <w:r>
        <w:rPr>
          <w:b/>
          <w:spacing w:val="16"/>
        </w:rPr>
        <w:t>第</w:t>
      </w:r>
      <w:r>
        <w:rPr>
          <w:b/>
          <w:spacing w:val="14"/>
        </w:rPr>
        <w:t>八</w:t>
      </w:r>
      <w:r>
        <w:rPr>
          <w:b/>
        </w:rPr>
        <w:t>条</w:t>
      </w:r>
      <w:r>
        <w:rPr>
          <w:b/>
        </w:rPr>
        <w:tab/>
      </w:r>
      <w:r>
        <w:rPr>
          <w:spacing w:val="14"/>
          <w:w w:val="95"/>
        </w:rPr>
        <w:t>学</w:t>
      </w:r>
      <w:r>
        <w:rPr>
          <w:spacing w:val="11"/>
          <w:w w:val="95"/>
        </w:rPr>
        <w:t>生每</w:t>
      </w:r>
      <w:r>
        <w:rPr>
          <w:spacing w:val="14"/>
          <w:w w:val="95"/>
        </w:rPr>
        <w:t>学期修读的</w:t>
      </w:r>
      <w:r>
        <w:rPr>
          <w:spacing w:val="11"/>
          <w:w w:val="95"/>
        </w:rPr>
        <w:t>课程</w:t>
      </w:r>
      <w:r>
        <w:rPr>
          <w:spacing w:val="14"/>
          <w:w w:val="95"/>
        </w:rPr>
        <w:t>学分原则上</w:t>
      </w:r>
      <w:r>
        <w:rPr>
          <w:spacing w:val="11"/>
          <w:w w:val="95"/>
        </w:rPr>
        <w:t>一般</w:t>
      </w:r>
      <w:r>
        <w:rPr>
          <w:spacing w:val="14"/>
          <w:w w:val="95"/>
        </w:rPr>
        <w:t>不</w:t>
      </w:r>
      <w:r>
        <w:rPr>
          <w:w w:val="95"/>
        </w:rPr>
        <w:t>得</w:t>
      </w:r>
      <w:r>
        <w:t>超过</w:t>
      </w:r>
      <w:r>
        <w:rPr>
          <w:spacing w:val="-81"/>
        </w:rPr>
        <w:t xml:space="preserve"> </w:t>
      </w:r>
      <w:r>
        <w:t>30</w:t>
      </w:r>
      <w:r>
        <w:rPr>
          <w:spacing w:val="-83"/>
        </w:rPr>
        <w:t xml:space="preserve"> </w:t>
      </w:r>
      <w:r>
        <w:t>学分</w:t>
      </w:r>
      <w:r>
        <w:rPr>
          <w:spacing w:val="-8"/>
        </w:rPr>
        <w:t>，</w:t>
      </w:r>
      <w:r>
        <w:t>最少不得低于</w:t>
      </w:r>
      <w:r>
        <w:rPr>
          <w:spacing w:val="-80"/>
        </w:rPr>
        <w:t xml:space="preserve"> </w:t>
      </w:r>
      <w:r>
        <w:t>20</w:t>
      </w:r>
      <w:r>
        <w:rPr>
          <w:spacing w:val="-83"/>
        </w:rPr>
        <w:t xml:space="preserve"> </w:t>
      </w:r>
      <w:r>
        <w:t>学</w:t>
      </w:r>
      <w:r>
        <w:rPr>
          <w:spacing w:val="-5"/>
        </w:rPr>
        <w:t>分</w:t>
      </w:r>
      <w:r>
        <w:t>（小学期与顶岗实习</w:t>
      </w:r>
      <w:r>
        <w:rPr>
          <w:spacing w:val="-11"/>
        </w:rPr>
        <w:t>期</w:t>
      </w:r>
      <w:r>
        <w:rPr>
          <w:w w:val="95"/>
        </w:rPr>
        <w:t>间除外</w:t>
      </w:r>
      <w:r>
        <w:rPr>
          <w:spacing w:val="-3"/>
          <w:w w:val="95"/>
        </w:rPr>
        <w:t>）</w:t>
      </w:r>
      <w:r>
        <w:rPr>
          <w:spacing w:val="-5"/>
          <w:w w:val="95"/>
        </w:rPr>
        <w:t>。</w:t>
      </w:r>
      <w:r>
        <w:rPr>
          <w:w w:val="95"/>
        </w:rPr>
        <w:t>学有余力且成绩优秀的学生</w:t>
      </w:r>
      <w:r>
        <w:rPr>
          <w:spacing w:val="-3"/>
          <w:w w:val="95"/>
        </w:rPr>
        <w:t>，</w:t>
      </w:r>
      <w:r>
        <w:rPr>
          <w:w w:val="95"/>
        </w:rPr>
        <w:t>可适当自主增选</w:t>
      </w:r>
      <w:r>
        <w:rPr>
          <w:spacing w:val="-13"/>
          <w:w w:val="95"/>
        </w:rPr>
        <w:t xml:space="preserve">学 </w:t>
      </w:r>
      <w:r>
        <w:t>分</w:t>
      </w:r>
      <w:r>
        <w:rPr>
          <w:spacing w:val="-161"/>
        </w:rPr>
        <w:t>，</w:t>
      </w:r>
      <w:r>
        <w:t>但最高不超过</w:t>
      </w:r>
      <w:r>
        <w:rPr>
          <w:spacing w:val="-88"/>
        </w:rPr>
        <w:t xml:space="preserve"> </w:t>
      </w:r>
      <w:r>
        <w:t>35</w:t>
      </w:r>
      <w:r>
        <w:rPr>
          <w:spacing w:val="-89"/>
        </w:rPr>
        <w:t xml:space="preserve"> </w:t>
      </w:r>
      <w:r>
        <w:t>学</w:t>
      </w:r>
      <w:r>
        <w:rPr>
          <w:spacing w:val="-159"/>
        </w:rPr>
        <w:t>分</w:t>
      </w:r>
      <w:r>
        <w:t>（不包括该学期免修获得的学分</w:t>
      </w:r>
      <w:r>
        <w:rPr>
          <w:spacing w:val="-161"/>
        </w:rPr>
        <w:t>）</w:t>
      </w:r>
      <w:r>
        <w:rPr>
          <w:spacing w:val="-13"/>
        </w:rPr>
        <w:t>。</w:t>
      </w:r>
      <w:r>
        <w:rPr>
          <w:b/>
          <w:spacing w:val="16"/>
        </w:rPr>
        <w:t>第</w:t>
      </w:r>
      <w:r>
        <w:rPr>
          <w:b/>
          <w:spacing w:val="14"/>
        </w:rPr>
        <w:t>九</w:t>
      </w:r>
      <w:r>
        <w:rPr>
          <w:b/>
        </w:rPr>
        <w:t>条</w:t>
      </w:r>
      <w:r>
        <w:rPr>
          <w:b/>
        </w:rPr>
        <w:tab/>
      </w:r>
      <w:r>
        <w:rPr>
          <w:spacing w:val="14"/>
          <w:w w:val="95"/>
        </w:rPr>
        <w:t>课</w:t>
      </w:r>
      <w:r>
        <w:rPr>
          <w:spacing w:val="11"/>
          <w:w w:val="95"/>
        </w:rPr>
        <w:t>程安</w:t>
      </w:r>
      <w:r>
        <w:rPr>
          <w:spacing w:val="14"/>
          <w:w w:val="95"/>
        </w:rPr>
        <w:t>排方式采用</w:t>
      </w:r>
      <w:r>
        <w:rPr>
          <w:spacing w:val="11"/>
          <w:w w:val="95"/>
        </w:rPr>
        <w:t>学生</w:t>
      </w:r>
      <w:r>
        <w:rPr>
          <w:spacing w:val="14"/>
          <w:w w:val="95"/>
        </w:rPr>
        <w:t>自主选课与</w:t>
      </w:r>
      <w:r>
        <w:rPr>
          <w:spacing w:val="11"/>
          <w:w w:val="95"/>
        </w:rPr>
        <w:t>学校</w:t>
      </w:r>
      <w:r>
        <w:rPr>
          <w:spacing w:val="14"/>
          <w:w w:val="95"/>
        </w:rPr>
        <w:t>统</w:t>
      </w:r>
      <w:r>
        <w:rPr>
          <w:w w:val="95"/>
        </w:rPr>
        <w:t>一</w:t>
      </w:r>
    </w:p>
    <w:p>
      <w:pPr>
        <w:pStyle w:val="3"/>
        <w:spacing w:before="5" w:line="364" w:lineRule="auto"/>
        <w:ind w:right="898"/>
        <w:jc w:val="both"/>
      </w:pPr>
      <w:r>
        <w:rPr>
          <w:spacing w:val="-4"/>
        </w:rPr>
        <w:t>安排相结合。原则上必修课由学校统一安排教学进程，学生必须修读；选修课根据学校教学资源等实际情况采取不同的</w:t>
      </w:r>
      <w:r>
        <w:rPr>
          <w:spacing w:val="-4"/>
          <w:w w:val="95"/>
        </w:rPr>
        <w:t>自主选课方式。经所在二级学院审核和教务处审批，学生可</w:t>
      </w:r>
    </w:p>
    <w:p>
      <w:pPr>
        <w:spacing w:after="0" w:line="364" w:lineRule="auto"/>
        <w:jc w:val="both"/>
        <w:sectPr>
          <w:pgSz w:w="11910" w:h="16840"/>
          <w:pgMar w:top="1500" w:right="900" w:bottom="280" w:left="1560" w:header="720" w:footer="720" w:gutter="0"/>
        </w:sectPr>
      </w:pPr>
    </w:p>
    <w:p>
      <w:pPr>
        <w:pStyle w:val="3"/>
        <w:spacing w:before="27" w:line="364" w:lineRule="auto"/>
        <w:ind w:right="896"/>
      </w:pPr>
      <w:r>
        <w:rPr>
          <w:spacing w:val="10"/>
          <w:w w:val="95"/>
        </w:rPr>
        <w:t xml:space="preserve">以在专业大类的范围内跨专业选修专业限选课和公共选修 </w:t>
      </w:r>
      <w:r>
        <w:rPr>
          <w:spacing w:val="10"/>
        </w:rPr>
        <w:t>课。</w:t>
      </w:r>
    </w:p>
    <w:p>
      <w:pPr>
        <w:pStyle w:val="3"/>
        <w:tabs>
          <w:tab w:val="left" w:pos="2167"/>
        </w:tabs>
        <w:spacing w:before="1" w:line="364" w:lineRule="auto"/>
        <w:ind w:right="740" w:firstLine="643"/>
      </w:pPr>
      <w:r>
        <w:rPr>
          <w:b/>
        </w:rPr>
        <w:t>第十条</w:t>
      </w:r>
      <w:r>
        <w:rPr>
          <w:b/>
        </w:rPr>
        <w:tab/>
      </w:r>
      <w:r>
        <w:t>有严格先行后继关系的课程</w:t>
      </w:r>
      <w:r>
        <w:rPr>
          <w:spacing w:val="-20"/>
        </w:rPr>
        <w:t>，</w:t>
      </w:r>
      <w:r>
        <w:t>必须在取</w:t>
      </w:r>
      <w:r>
        <w:rPr>
          <w:spacing w:val="4"/>
        </w:rPr>
        <w:t>得</w:t>
      </w:r>
      <w:r>
        <w:t>先行课学分后</w:t>
      </w:r>
      <w:r>
        <w:rPr>
          <w:spacing w:val="-84"/>
        </w:rPr>
        <w:t>，</w:t>
      </w:r>
      <w:r>
        <w:t>方可修读后续课程</w:t>
      </w:r>
      <w:r>
        <w:rPr>
          <w:spacing w:val="-87"/>
        </w:rPr>
        <w:t>。</w:t>
      </w:r>
      <w:r>
        <w:t>如果学生修读完先修课程后</w:t>
      </w:r>
      <w:r>
        <w:rPr>
          <w:spacing w:val="-15"/>
        </w:rPr>
        <w:t xml:space="preserve">， </w:t>
      </w:r>
      <w:r>
        <w:t>未能获得该课程的学分</w:t>
      </w:r>
      <w:r>
        <w:rPr>
          <w:spacing w:val="-5"/>
        </w:rPr>
        <w:t>，</w:t>
      </w:r>
      <w:r>
        <w:t>允许学生选修其后续课程</w:t>
      </w:r>
      <w:r>
        <w:rPr>
          <w:spacing w:val="-8"/>
        </w:rPr>
        <w:t>，</w:t>
      </w:r>
      <w:r>
        <w:t>但必须重修先修课程。</w:t>
      </w:r>
    </w:p>
    <w:p>
      <w:pPr>
        <w:pStyle w:val="3"/>
        <w:spacing w:before="4" w:line="364" w:lineRule="auto"/>
        <w:ind w:right="901" w:firstLine="643"/>
        <w:jc w:val="both"/>
      </w:pPr>
      <w:r>
        <w:rPr>
          <w:b/>
          <w:spacing w:val="12"/>
        </w:rPr>
        <w:t xml:space="preserve">第十一条 </w:t>
      </w:r>
      <w:r>
        <w:rPr>
          <w:spacing w:val="9"/>
        </w:rPr>
        <w:t>每学期结束前应当向学生公布下学期选修</w:t>
      </w:r>
      <w:r>
        <w:rPr>
          <w:spacing w:val="-4"/>
        </w:rPr>
        <w:t>课程开课目录。学生应按照人才培养方案要求进行选课，各专业应安排教师指导，首先保证必修课，其次是选修课，并</w:t>
      </w:r>
      <w:r>
        <w:t>避免上课冲突。</w:t>
      </w:r>
    </w:p>
    <w:p>
      <w:pPr>
        <w:pStyle w:val="3"/>
        <w:tabs>
          <w:tab w:val="left" w:pos="2568"/>
        </w:tabs>
        <w:spacing w:before="3" w:line="364" w:lineRule="auto"/>
        <w:ind w:right="744" w:firstLine="643"/>
      </w:pPr>
      <w:r>
        <w:rPr>
          <w:b/>
          <w:spacing w:val="16"/>
        </w:rPr>
        <w:t>第</w:t>
      </w:r>
      <w:r>
        <w:rPr>
          <w:b/>
          <w:spacing w:val="14"/>
        </w:rPr>
        <w:t>十二</w:t>
      </w:r>
      <w:r>
        <w:rPr>
          <w:b/>
        </w:rPr>
        <w:t>条</w:t>
      </w:r>
      <w:r>
        <w:rPr>
          <w:b/>
        </w:rPr>
        <w:tab/>
      </w:r>
      <w:r>
        <w:rPr>
          <w:spacing w:val="14"/>
        </w:rPr>
        <w:t>选</w:t>
      </w:r>
      <w:r>
        <w:rPr>
          <w:spacing w:val="11"/>
        </w:rPr>
        <w:t>修</w:t>
      </w:r>
      <w:r>
        <w:rPr>
          <w:spacing w:val="14"/>
        </w:rPr>
        <w:t>课由学生</w:t>
      </w:r>
      <w:r>
        <w:rPr>
          <w:spacing w:val="11"/>
        </w:rPr>
        <w:t>根</w:t>
      </w:r>
      <w:r>
        <w:rPr>
          <w:spacing w:val="14"/>
        </w:rPr>
        <w:t>据</w:t>
      </w:r>
      <w:r>
        <w:rPr>
          <w:spacing w:val="11"/>
        </w:rPr>
        <w:t>实</w:t>
      </w:r>
      <w:r>
        <w:rPr>
          <w:spacing w:val="14"/>
        </w:rPr>
        <w:t>际情况与</w:t>
      </w:r>
      <w:r>
        <w:rPr>
          <w:spacing w:val="11"/>
        </w:rPr>
        <w:t>本</w:t>
      </w:r>
      <w:r>
        <w:rPr>
          <w:spacing w:val="14"/>
        </w:rPr>
        <w:t>人</w:t>
      </w:r>
      <w:r>
        <w:rPr>
          <w:spacing w:val="11"/>
        </w:rPr>
        <w:t>兴</w:t>
      </w:r>
      <w:r>
        <w:rPr>
          <w:spacing w:val="14"/>
        </w:rPr>
        <w:t>趣</w:t>
      </w:r>
      <w:r>
        <w:t>爱好自主选课</w:t>
      </w:r>
      <w:r>
        <w:rPr>
          <w:spacing w:val="-8"/>
        </w:rPr>
        <w:t>，</w:t>
      </w:r>
      <w:r>
        <w:t>按选课后组成的教学班组织教学</w:t>
      </w:r>
      <w:r>
        <w:rPr>
          <w:spacing w:val="-8"/>
        </w:rPr>
        <w:t>；</w:t>
      </w:r>
      <w:r>
        <w:t>若选课人数低于</w:t>
      </w:r>
      <w:r>
        <w:rPr>
          <w:spacing w:val="-81"/>
        </w:rPr>
        <w:t xml:space="preserve"> </w:t>
      </w:r>
      <w:r>
        <w:t>30</w:t>
      </w:r>
      <w:r>
        <w:rPr>
          <w:spacing w:val="-83"/>
        </w:rPr>
        <w:t xml:space="preserve"> </w:t>
      </w:r>
      <w:r>
        <w:t>人</w:t>
      </w:r>
      <w:r>
        <w:rPr>
          <w:spacing w:val="-3"/>
        </w:rPr>
        <w:t>，</w:t>
      </w:r>
      <w:r>
        <w:t>原则上停开</w:t>
      </w:r>
      <w:r>
        <w:rPr>
          <w:spacing w:val="-3"/>
        </w:rPr>
        <w:t>；</w:t>
      </w:r>
      <w:r>
        <w:t>超过</w:t>
      </w:r>
      <w:r>
        <w:rPr>
          <w:spacing w:val="-79"/>
        </w:rPr>
        <w:t xml:space="preserve"> </w:t>
      </w:r>
      <w:r>
        <w:t>60</w:t>
      </w:r>
      <w:r>
        <w:rPr>
          <w:spacing w:val="-83"/>
        </w:rPr>
        <w:t xml:space="preserve"> </w:t>
      </w:r>
      <w:r>
        <w:t>人，分班组织教学。低年</w:t>
      </w:r>
      <w:r>
        <w:rPr>
          <w:spacing w:val="7"/>
          <w:w w:val="95"/>
        </w:rPr>
        <w:t>级以选修公</w:t>
      </w:r>
      <w:r>
        <w:rPr>
          <w:spacing w:val="4"/>
          <w:w w:val="95"/>
        </w:rPr>
        <w:t>共选</w:t>
      </w:r>
      <w:r>
        <w:rPr>
          <w:spacing w:val="7"/>
          <w:w w:val="95"/>
        </w:rPr>
        <w:t>修课为主，</w:t>
      </w:r>
      <w:r>
        <w:rPr>
          <w:spacing w:val="4"/>
          <w:w w:val="95"/>
        </w:rPr>
        <w:t>高年</w:t>
      </w:r>
      <w:r>
        <w:rPr>
          <w:spacing w:val="7"/>
          <w:w w:val="95"/>
        </w:rPr>
        <w:t>级以选修专</w:t>
      </w:r>
      <w:r>
        <w:rPr>
          <w:spacing w:val="4"/>
          <w:w w:val="95"/>
        </w:rPr>
        <w:t>业选</w:t>
      </w:r>
      <w:r>
        <w:rPr>
          <w:spacing w:val="7"/>
          <w:w w:val="95"/>
        </w:rPr>
        <w:t>修课为主</w:t>
      </w:r>
      <w:r>
        <w:rPr>
          <w:spacing w:val="-14"/>
          <w:w w:val="95"/>
        </w:rPr>
        <w:t xml:space="preserve">。 </w:t>
      </w:r>
      <w:r>
        <w:t>已取得学分的课程，不得再选。</w:t>
      </w:r>
    </w:p>
    <w:p>
      <w:pPr>
        <w:pStyle w:val="3"/>
        <w:spacing w:before="5" w:line="364" w:lineRule="auto"/>
        <w:ind w:right="896" w:firstLine="643"/>
        <w:jc w:val="both"/>
      </w:pPr>
      <w:r>
        <w:rPr>
          <w:b/>
          <w:spacing w:val="30"/>
        </w:rPr>
        <w:t xml:space="preserve">第十三条 </w:t>
      </w:r>
      <w:r>
        <w:rPr>
          <w:spacing w:val="-3"/>
        </w:rPr>
        <w:t>选修课程一经确定后，原则上不办理改选手</w:t>
      </w:r>
      <w:r>
        <w:rPr>
          <w:spacing w:val="-5"/>
        </w:rPr>
        <w:t>续，但确实因授课时间与其他课程冲突等特殊情况需改选或</w:t>
      </w:r>
      <w:r>
        <w:rPr>
          <w:spacing w:val="-3"/>
        </w:rPr>
        <w:t>退选的，必须在开课初两周内，由本人申请，经任课教师同</w:t>
      </w:r>
      <w:r>
        <w:rPr>
          <w:spacing w:val="-6"/>
        </w:rPr>
        <w:t>意，报教务处批准。如没有申请无故不参加课程修读，则该</w:t>
      </w:r>
      <w:r>
        <w:t>门课成绩为零，取得学分为零，并取消下一次选课机会。</w:t>
      </w:r>
    </w:p>
    <w:p>
      <w:pPr>
        <w:spacing w:before="4"/>
        <w:ind w:left="883" w:right="0" w:firstLine="0"/>
        <w:jc w:val="both"/>
        <w:rPr>
          <w:sz w:val="32"/>
        </w:rPr>
      </w:pPr>
      <w:r>
        <w:rPr>
          <w:b/>
          <w:sz w:val="32"/>
        </w:rPr>
        <w:t xml:space="preserve">第十四条 </w:t>
      </w:r>
      <w:r>
        <w:rPr>
          <w:sz w:val="32"/>
        </w:rPr>
        <w:t>未经学校选课确认，该课程修读学分无效。</w:t>
      </w:r>
    </w:p>
    <w:p>
      <w:pPr>
        <w:spacing w:after="0"/>
        <w:jc w:val="both"/>
        <w:rPr>
          <w:sz w:val="32"/>
        </w:rPr>
        <w:sectPr>
          <w:pgSz w:w="11910" w:h="16840"/>
          <w:pgMar w:top="1500" w:right="900" w:bottom="280" w:left="1560" w:header="720" w:footer="720" w:gutter="0"/>
        </w:sectPr>
      </w:pPr>
    </w:p>
    <w:p>
      <w:pPr>
        <w:pStyle w:val="2"/>
        <w:tabs>
          <w:tab w:val="left" w:pos="4395"/>
        </w:tabs>
        <w:jc w:val="left"/>
      </w:pPr>
      <w:r>
        <w:t>第四章</w:t>
      </w:r>
      <w:r>
        <w:tab/>
      </w:r>
      <w:r>
        <w:t>课程免修</w:t>
      </w:r>
    </w:p>
    <w:p>
      <w:pPr>
        <w:pStyle w:val="3"/>
        <w:tabs>
          <w:tab w:val="left" w:pos="2489"/>
        </w:tabs>
        <w:spacing w:before="213" w:line="364" w:lineRule="auto"/>
        <w:ind w:right="900" w:firstLine="643"/>
      </w:pPr>
      <w:r>
        <w:rPr>
          <w:b/>
        </w:rPr>
        <w:t>第十五条</w:t>
      </w:r>
      <w:r>
        <w:rPr>
          <w:b/>
        </w:rPr>
        <w:tab/>
      </w:r>
      <w:r>
        <w:t>为充分发挥学生的学习积极性</w:t>
      </w:r>
      <w:r>
        <w:rPr>
          <w:spacing w:val="-22"/>
        </w:rPr>
        <w:t>，</w:t>
      </w:r>
      <w:r>
        <w:t>允许提前</w:t>
      </w:r>
      <w:r>
        <w:rPr>
          <w:spacing w:val="-16"/>
        </w:rPr>
        <w:t>修</w:t>
      </w:r>
      <w:r>
        <w:t>读课程，学生通过自学后参加免修考试，取得学分。</w:t>
      </w:r>
    </w:p>
    <w:p>
      <w:pPr>
        <w:pStyle w:val="3"/>
        <w:spacing w:before="2" w:line="364" w:lineRule="auto"/>
        <w:ind w:right="855" w:firstLine="640"/>
      </w:pPr>
      <w:r>
        <w:t>（一）学生对人才培养方案规定的课程，通过各种途径的自学，认为已经掌握者，可申请免修，直接参加考试。</w:t>
      </w:r>
    </w:p>
    <w:p>
      <w:pPr>
        <w:pStyle w:val="3"/>
        <w:spacing w:before="2" w:line="364" w:lineRule="auto"/>
        <w:ind w:right="898" w:firstLine="640"/>
        <w:jc w:val="both"/>
      </w:pPr>
      <w:r>
        <w:t>（二</w:t>
      </w:r>
      <w:r>
        <w:rPr>
          <w:spacing w:val="-8"/>
        </w:rPr>
        <w:t>）</w:t>
      </w:r>
      <w:r>
        <w:rPr>
          <w:spacing w:val="-2"/>
        </w:rPr>
        <w:t>外校转入或本校转专业的学生，已经取得学分的</w:t>
      </w:r>
      <w:r>
        <w:rPr>
          <w:spacing w:val="-4"/>
        </w:rPr>
        <w:t>相关课程，可申请免修、免试，经教务处审核认可后可取得</w:t>
      </w:r>
      <w:r>
        <w:t>相应学分。</w:t>
      </w:r>
    </w:p>
    <w:p>
      <w:pPr>
        <w:pStyle w:val="3"/>
        <w:spacing w:before="3" w:line="364" w:lineRule="auto"/>
        <w:ind w:right="898" w:firstLine="640"/>
        <w:jc w:val="both"/>
      </w:pPr>
      <w:r>
        <w:t>（三</w:t>
      </w:r>
      <w:r>
        <w:rPr>
          <w:spacing w:val="-13"/>
        </w:rPr>
        <w:t>）</w:t>
      </w:r>
      <w:r>
        <w:rPr>
          <w:spacing w:val="-1"/>
        </w:rPr>
        <w:t>对校际间相同专业或相近专业签订有成绩和学分</w:t>
      </w:r>
      <w:r>
        <w:rPr>
          <w:spacing w:val="-4"/>
        </w:rPr>
        <w:t>互认协议的，学生可根据协议要求，并以学校教务部门出具的正式成绩通知单为凭证，可免修、免试该门课程，取得学</w:t>
      </w:r>
      <w:r>
        <w:t>分。</w:t>
      </w:r>
    </w:p>
    <w:p>
      <w:pPr>
        <w:pStyle w:val="3"/>
        <w:spacing w:before="3" w:line="364" w:lineRule="auto"/>
        <w:ind w:right="901" w:firstLine="640"/>
        <w:jc w:val="both"/>
      </w:pPr>
      <w:r>
        <w:t>（四</w:t>
      </w:r>
      <w:r>
        <w:rPr>
          <w:spacing w:val="-5"/>
        </w:rPr>
        <w:t>）</w:t>
      </w:r>
      <w:r>
        <w:rPr>
          <w:spacing w:val="-3"/>
        </w:rPr>
        <w:t>思想政治教育课、体育课、实践比例在三分之一</w:t>
      </w:r>
      <w:r>
        <w:rPr>
          <w:spacing w:val="10"/>
          <w:w w:val="95"/>
        </w:rPr>
        <w:t xml:space="preserve">及以上的理实一体化课程以及各类独立设置的实践性教学 </w:t>
      </w:r>
      <w:r>
        <w:rPr>
          <w:spacing w:val="10"/>
        </w:rPr>
        <w:t>环节不得免修。</w:t>
      </w:r>
    </w:p>
    <w:p>
      <w:pPr>
        <w:pStyle w:val="3"/>
        <w:spacing w:before="3" w:line="364" w:lineRule="auto"/>
        <w:ind w:right="897" w:firstLine="640"/>
        <w:jc w:val="both"/>
      </w:pPr>
      <w:r>
        <w:t>（五</w:t>
      </w:r>
      <w:r>
        <w:rPr>
          <w:spacing w:val="-13"/>
        </w:rPr>
        <w:t>）</w:t>
      </w:r>
      <w:r>
        <w:rPr>
          <w:spacing w:val="-1"/>
        </w:rPr>
        <w:t>因身体疾病或某种生理缺陷不宜修读体育课和军</w:t>
      </w:r>
      <w:r>
        <w:rPr>
          <w:spacing w:val="-5"/>
        </w:rPr>
        <w:t>训者，由学生本人申请，提交县级以上医疗单位证明，经学</w:t>
      </w:r>
      <w:r>
        <w:rPr>
          <w:spacing w:val="-4"/>
        </w:rPr>
        <w:t>校医务室审核，二级学院和教务处批准，可免跟班上课。但</w:t>
      </w:r>
      <w:r>
        <w:rPr>
          <w:spacing w:val="-2"/>
        </w:rPr>
        <w:t>应参加学校指定的体育保健项目的学习和锻炼，考核合格可</w:t>
      </w:r>
      <w:r>
        <w:t>获得学分。</w:t>
      </w:r>
    </w:p>
    <w:p>
      <w:pPr>
        <w:pStyle w:val="3"/>
        <w:spacing w:before="4" w:line="364" w:lineRule="auto"/>
        <w:ind w:right="740" w:firstLine="643"/>
        <w:jc w:val="both"/>
      </w:pPr>
      <w:r>
        <w:rPr>
          <w:b/>
        </w:rPr>
        <w:t xml:space="preserve">第十六条 </w:t>
      </w:r>
      <w:r>
        <w:t>学生应在免修课程开设前一学期提出申请， 最迟于学期开学第一周提交《免修申请表》以及有关自学成</w:t>
      </w:r>
    </w:p>
    <w:p>
      <w:pPr>
        <w:spacing w:after="0" w:line="364" w:lineRule="auto"/>
        <w:jc w:val="both"/>
        <w:sectPr>
          <w:pgSz w:w="11910" w:h="16840"/>
          <w:pgMar w:top="1500" w:right="900" w:bottom="280" w:left="1560" w:header="720" w:footer="720" w:gutter="0"/>
        </w:sectPr>
      </w:pPr>
    </w:p>
    <w:p>
      <w:pPr>
        <w:pStyle w:val="3"/>
        <w:spacing w:before="27" w:line="364" w:lineRule="auto"/>
        <w:ind w:right="534"/>
      </w:pPr>
      <w:r>
        <w:t>果的证明材料，经教务处批准后于第二周参加免修课程考试。学生每学期免修课程不超过两门。</w:t>
      </w:r>
    </w:p>
    <w:p>
      <w:pPr>
        <w:pStyle w:val="3"/>
        <w:spacing w:before="1" w:line="364" w:lineRule="auto"/>
        <w:ind w:right="897" w:firstLine="640"/>
        <w:jc w:val="both"/>
      </w:pPr>
      <w:r>
        <w:t>（一</w:t>
      </w:r>
      <w:r>
        <w:rPr>
          <w:spacing w:val="-3"/>
        </w:rPr>
        <w:t>）</w:t>
      </w:r>
      <w:r>
        <w:rPr>
          <w:spacing w:val="-1"/>
        </w:rPr>
        <w:t>免修考试由课程所在二级学院</w:t>
      </w:r>
      <w:r>
        <w:t>（部</w:t>
      </w:r>
      <w:r>
        <w:rPr>
          <w:spacing w:val="-3"/>
        </w:rPr>
        <w:t>）</w:t>
      </w:r>
      <w:r>
        <w:rPr>
          <w:spacing w:val="-4"/>
        </w:rPr>
        <w:t>组织，考试</w:t>
      </w:r>
      <w:r>
        <w:rPr>
          <w:spacing w:val="-2"/>
        </w:rPr>
        <w:t>实施方案须报教务处备案。免修考试每学期安排一次。免修</w:t>
      </w:r>
      <w:r>
        <w:rPr>
          <w:spacing w:val="-4"/>
        </w:rPr>
        <w:t>考试一般安排在期末同门课程考试时间。免修未被批准前仍要参加听课，在规定的免修考试时间，因故或无故缺考，不</w:t>
      </w:r>
      <w:r>
        <w:t>再另行安排。</w:t>
      </w:r>
    </w:p>
    <w:p>
      <w:pPr>
        <w:pStyle w:val="3"/>
        <w:spacing w:before="5" w:line="364" w:lineRule="auto"/>
        <w:ind w:right="898" w:firstLine="640"/>
        <w:jc w:val="both"/>
      </w:pPr>
      <w:r>
        <w:t>（二</w:t>
      </w:r>
      <w:r>
        <w:rPr>
          <w:spacing w:val="-8"/>
        </w:rPr>
        <w:t>）</w:t>
      </w:r>
      <w:r>
        <w:rPr>
          <w:spacing w:val="-2"/>
        </w:rPr>
        <w:t>对于实践课时比例少于三分之一的课程，实践部</w:t>
      </w:r>
      <w:r>
        <w:rPr>
          <w:spacing w:val="-3"/>
        </w:rPr>
        <w:t>分必须在教师组织下正常修读，合格后该课程方可参加免修</w:t>
      </w:r>
      <w:r>
        <w:t>考核。</w:t>
      </w:r>
    </w:p>
    <w:p>
      <w:pPr>
        <w:pStyle w:val="3"/>
        <w:spacing w:before="2" w:line="364" w:lineRule="auto"/>
        <w:ind w:right="899" w:firstLine="643"/>
        <w:jc w:val="both"/>
      </w:pPr>
      <w:r>
        <w:rPr>
          <w:b/>
          <w:spacing w:val="31"/>
        </w:rPr>
        <w:t xml:space="preserve">第十七条 </w:t>
      </w:r>
      <w:r>
        <w:rPr>
          <w:spacing w:val="-2"/>
        </w:rPr>
        <w:t xml:space="preserve">免修考试成绩在 </w:t>
      </w:r>
      <w:r>
        <w:t>75</w:t>
      </w:r>
      <w:r>
        <w:rPr>
          <w:spacing w:val="-5"/>
        </w:rPr>
        <w:t xml:space="preserve"> 分及以上，予以免修， </w:t>
      </w:r>
      <w:r>
        <w:rPr>
          <w:spacing w:val="-4"/>
        </w:rPr>
        <w:t>其成绩按免修考试成绩登载，并注明“免修”；免修考试成</w:t>
      </w:r>
      <w:r>
        <w:rPr>
          <w:spacing w:val="-17"/>
        </w:rPr>
        <w:t xml:space="preserve">绩未达到 </w:t>
      </w:r>
      <w:r>
        <w:t>75</w:t>
      </w:r>
      <w:r>
        <w:rPr>
          <w:spacing w:val="-10"/>
        </w:rPr>
        <w:t xml:space="preserve"> 分的不予以成绩登载，继续跟班修读。</w:t>
      </w:r>
    </w:p>
    <w:p>
      <w:pPr>
        <w:pStyle w:val="3"/>
        <w:spacing w:before="3" w:line="364" w:lineRule="auto"/>
        <w:ind w:right="900" w:firstLine="643"/>
        <w:jc w:val="both"/>
      </w:pPr>
      <w:r>
        <w:rPr>
          <w:b/>
          <w:spacing w:val="30"/>
        </w:rPr>
        <w:t xml:space="preserve">第十八条 </w:t>
      </w:r>
      <w:r>
        <w:rPr>
          <w:spacing w:val="-3"/>
        </w:rPr>
        <w:t>具备国民教育系列相同层次学历者，其所选学的课程与原学过的课程相同者，允许学生免修并免考。学生应在该课程开课前提出免修、免试申请，持成绩单</w:t>
      </w:r>
      <w:r>
        <w:t>（</w:t>
      </w:r>
      <w:r>
        <w:rPr>
          <w:spacing w:val="-7"/>
        </w:rPr>
        <w:t>单科</w:t>
      </w:r>
      <w:r>
        <w:t>合格证书</w:t>
      </w:r>
      <w:r>
        <w:rPr>
          <w:spacing w:val="-8"/>
        </w:rPr>
        <w:t>）</w:t>
      </w:r>
      <w:r>
        <w:rPr>
          <w:spacing w:val="-2"/>
        </w:rPr>
        <w:t>原件和复印件并加盖公章，经教务处审核认可后</w:t>
      </w:r>
      <w:r>
        <w:t>获得相应学分。</w:t>
      </w:r>
    </w:p>
    <w:p>
      <w:pPr>
        <w:pStyle w:val="3"/>
        <w:spacing w:before="5" w:line="364" w:lineRule="auto"/>
        <w:ind w:right="852" w:firstLine="479"/>
      </w:pPr>
      <w:r>
        <w:rPr>
          <w:b/>
        </w:rPr>
        <w:t xml:space="preserve">第十九条 </w:t>
      </w:r>
      <w:r>
        <w:t>学生参加省级（含）以上技能大赛可申请相关专业课程免修或申请个性化学分置换。</w:t>
      </w:r>
    </w:p>
    <w:p>
      <w:pPr>
        <w:pStyle w:val="3"/>
        <w:spacing w:before="1" w:line="364" w:lineRule="auto"/>
        <w:ind w:right="890" w:firstLine="479"/>
      </w:pPr>
      <w:r>
        <w:rPr>
          <w:spacing w:val="7"/>
          <w:w w:val="95"/>
        </w:rPr>
        <w:t>（一）</w:t>
      </w:r>
      <w:r>
        <w:rPr>
          <w:spacing w:val="6"/>
          <w:w w:val="95"/>
        </w:rPr>
        <w:t xml:space="preserve">参加教育厅举办的“江苏省职业院校技能大赛” </w:t>
      </w:r>
      <w:r>
        <w:rPr>
          <w:spacing w:val="-3"/>
        </w:rPr>
        <w:t>或教育部举办的“全国职业院校技能大赛”的参赛选手和全</w:t>
      </w:r>
    </w:p>
    <w:p>
      <w:pPr>
        <w:spacing w:after="0" w:line="364" w:lineRule="auto"/>
        <w:sectPr>
          <w:pgSz w:w="11910" w:h="16840"/>
          <w:pgMar w:top="1500" w:right="900" w:bottom="280" w:left="1560" w:header="720" w:footer="720" w:gutter="0"/>
        </w:sectPr>
      </w:pPr>
    </w:p>
    <w:p>
      <w:pPr>
        <w:pStyle w:val="3"/>
        <w:spacing w:before="27"/>
      </w:pPr>
      <w:r>
        <w:t>程陪练选手，可申请免修免考本学期所有专业课程。</w:t>
      </w:r>
    </w:p>
    <w:p>
      <w:pPr>
        <w:pStyle w:val="3"/>
        <w:spacing w:before="213" w:line="364" w:lineRule="auto"/>
        <w:ind w:right="890" w:firstLine="479"/>
        <w:jc w:val="both"/>
      </w:pPr>
      <w:r>
        <w:rPr>
          <w:spacing w:val="6"/>
          <w:w w:val="95"/>
        </w:rPr>
        <w:t xml:space="preserve">获得“江苏省职业院校技能大赛”一等奖和参加“全国 </w:t>
      </w:r>
      <w:r>
        <w:rPr>
          <w:spacing w:val="-20"/>
        </w:rPr>
        <w:t>职业院校技能大赛”的参赛选手，免修免考课程成绩按照“优</w:t>
      </w:r>
      <w:r>
        <w:rPr>
          <w:spacing w:val="-6"/>
        </w:rPr>
        <w:t>秀”记录，获得其它奖项的参赛选手，免修免考课程成绩按</w:t>
      </w:r>
      <w:r>
        <w:rPr>
          <w:spacing w:val="-20"/>
        </w:rPr>
        <w:t>照“良好”记录；全程陪练选手免修免考课程成绩最高按“良好”记录。</w:t>
      </w:r>
    </w:p>
    <w:p>
      <w:pPr>
        <w:pStyle w:val="3"/>
        <w:spacing w:before="5" w:line="364" w:lineRule="auto"/>
        <w:ind w:right="890" w:firstLine="479"/>
        <w:jc w:val="both"/>
      </w:pPr>
      <w:r>
        <w:rPr>
          <w:spacing w:val="7"/>
          <w:w w:val="95"/>
        </w:rPr>
        <w:t>（二）</w:t>
      </w:r>
      <w:r>
        <w:rPr>
          <w:spacing w:val="6"/>
          <w:w w:val="95"/>
        </w:rPr>
        <w:t xml:space="preserve">参加其它省级行政部门或行业举办的技能比赛的 </w:t>
      </w:r>
      <w:r>
        <w:rPr>
          <w:spacing w:val="-3"/>
        </w:rPr>
        <w:t>竞赛选手，可申请免修免考本学期部分专业课程，学分不超</w:t>
      </w:r>
      <w:r>
        <w:rPr>
          <w:spacing w:val="-5"/>
        </w:rPr>
        <w:t xml:space="preserve">过本学期修读学分的 </w:t>
      </w:r>
      <w:r>
        <w:t>40%。获得一等奖及以上荣誉的，免修</w:t>
      </w:r>
      <w:r>
        <w:rPr>
          <w:spacing w:val="-20"/>
        </w:rPr>
        <w:t>免考课程成绩按照“优秀”记录；获得其它奖项的参赛选手， 免修免考课程成绩按照“良好”记录。</w:t>
      </w:r>
    </w:p>
    <w:p>
      <w:pPr>
        <w:pStyle w:val="3"/>
        <w:spacing w:before="4" w:line="364" w:lineRule="auto"/>
        <w:ind w:right="890" w:firstLine="479"/>
        <w:jc w:val="both"/>
      </w:pPr>
      <w:r>
        <w:rPr>
          <w:spacing w:val="7"/>
          <w:w w:val="95"/>
        </w:rPr>
        <w:t>（三）</w:t>
      </w:r>
      <w:r>
        <w:rPr>
          <w:spacing w:val="6"/>
          <w:w w:val="95"/>
        </w:rPr>
        <w:t xml:space="preserve">各级各类竞赛学生的竞赛成绩可以按《江苏旅游 </w:t>
      </w:r>
      <w:r>
        <w:rPr>
          <w:spacing w:val="-2"/>
        </w:rPr>
        <w:t>职业学院特色学分认定管理办法》置换其他课程学分，已按免修免考课程处理的比赛成绩不再认定特色学分。</w:t>
      </w:r>
    </w:p>
    <w:p>
      <w:pPr>
        <w:pStyle w:val="3"/>
        <w:ind w:left="0"/>
      </w:pPr>
    </w:p>
    <w:p>
      <w:pPr>
        <w:pStyle w:val="2"/>
        <w:tabs>
          <w:tab w:val="left" w:pos="4395"/>
        </w:tabs>
        <w:spacing w:before="217"/>
        <w:jc w:val="left"/>
      </w:pPr>
      <w:r>
        <w:t>第五章</w:t>
      </w:r>
      <w:r>
        <w:tab/>
      </w:r>
      <w:r>
        <w:t>成绩评定</w:t>
      </w:r>
    </w:p>
    <w:p>
      <w:pPr>
        <w:pStyle w:val="3"/>
        <w:tabs>
          <w:tab w:val="left" w:pos="2362"/>
        </w:tabs>
        <w:spacing w:before="214" w:line="364" w:lineRule="auto"/>
        <w:ind w:right="743" w:firstLine="479"/>
      </w:pPr>
      <w:r>
        <w:rPr>
          <w:b/>
          <w:spacing w:val="9"/>
        </w:rPr>
        <w:t>第</w:t>
      </w:r>
      <w:r>
        <w:rPr>
          <w:b/>
          <w:spacing w:val="7"/>
        </w:rPr>
        <w:t>二十</w:t>
      </w:r>
      <w:r>
        <w:rPr>
          <w:b/>
        </w:rPr>
        <w:t>条</w:t>
      </w:r>
      <w:r>
        <w:rPr>
          <w:b/>
        </w:rPr>
        <w:tab/>
      </w:r>
      <w:r>
        <w:rPr>
          <w:spacing w:val="7"/>
        </w:rPr>
        <w:t>学</w:t>
      </w:r>
      <w:r>
        <w:rPr>
          <w:spacing w:val="4"/>
        </w:rPr>
        <w:t>生</w:t>
      </w:r>
      <w:r>
        <w:rPr>
          <w:spacing w:val="7"/>
        </w:rPr>
        <w:t>所修读的课程</w:t>
      </w:r>
      <w:r>
        <w:rPr>
          <w:spacing w:val="4"/>
        </w:rPr>
        <w:t>均</w:t>
      </w:r>
      <w:r>
        <w:rPr>
          <w:spacing w:val="7"/>
        </w:rPr>
        <w:t>应参加考核，</w:t>
      </w:r>
      <w:r>
        <w:rPr>
          <w:spacing w:val="4"/>
        </w:rPr>
        <w:t>并</w:t>
      </w:r>
      <w:r>
        <w:rPr>
          <w:spacing w:val="7"/>
        </w:rPr>
        <w:t>结合</w:t>
      </w:r>
      <w:r>
        <w:t>过程学习情况评定总评成绩，总评成绩在及</w:t>
      </w:r>
      <w:r>
        <w:rPr>
          <w:spacing w:val="-3"/>
        </w:rPr>
        <w:t>格</w:t>
      </w:r>
      <w:r>
        <w:t>（含</w:t>
      </w:r>
      <w:r>
        <w:rPr>
          <w:spacing w:val="-3"/>
        </w:rPr>
        <w:t>）</w:t>
      </w:r>
      <w:r>
        <w:t>以上</w:t>
      </w:r>
      <w:r>
        <w:rPr>
          <w:spacing w:val="-3"/>
        </w:rPr>
        <w:t>，</w:t>
      </w:r>
      <w:r>
        <w:t>方可获得修读课程学分</w:t>
      </w:r>
      <w:r>
        <w:rPr>
          <w:spacing w:val="-8"/>
        </w:rPr>
        <w:t>。</w:t>
      </w:r>
      <w:r>
        <w:t>考核分考试和考查两种</w:t>
      </w:r>
      <w:r>
        <w:rPr>
          <w:spacing w:val="-8"/>
        </w:rPr>
        <w:t>，</w:t>
      </w:r>
      <w:r>
        <w:t>考试采用百</w:t>
      </w:r>
      <w:r>
        <w:rPr>
          <w:spacing w:val="7"/>
          <w:w w:val="95"/>
        </w:rPr>
        <w:t>分制记分，</w:t>
      </w:r>
      <w:r>
        <w:rPr>
          <w:spacing w:val="4"/>
          <w:w w:val="95"/>
        </w:rPr>
        <w:t>考查</w:t>
      </w:r>
      <w:r>
        <w:rPr>
          <w:spacing w:val="7"/>
          <w:w w:val="95"/>
        </w:rPr>
        <w:t>采用优、良</w:t>
      </w:r>
      <w:r>
        <w:rPr>
          <w:spacing w:val="4"/>
          <w:w w:val="95"/>
        </w:rPr>
        <w:t>、中</w:t>
      </w:r>
      <w:r>
        <w:rPr>
          <w:spacing w:val="7"/>
          <w:w w:val="95"/>
        </w:rPr>
        <w:t>、及格、不</w:t>
      </w:r>
      <w:r>
        <w:rPr>
          <w:spacing w:val="4"/>
          <w:w w:val="95"/>
        </w:rPr>
        <w:t>及格</w:t>
      </w:r>
      <w:r>
        <w:rPr>
          <w:spacing w:val="7"/>
          <w:w w:val="95"/>
        </w:rPr>
        <w:t>五级记分</w:t>
      </w:r>
      <w:r>
        <w:rPr>
          <w:spacing w:val="-13"/>
          <w:w w:val="95"/>
        </w:rPr>
        <w:t xml:space="preserve">。 </w:t>
      </w:r>
      <w:r>
        <w:t>凡无故未办理注册及选课等手续擅自听课者</w:t>
      </w:r>
      <w:r>
        <w:rPr>
          <w:spacing w:val="-13"/>
        </w:rPr>
        <w:t>，</w:t>
      </w:r>
      <w:r>
        <w:t>一律不得参加考核，成绩、学分以零计。</w:t>
      </w:r>
    </w:p>
    <w:p>
      <w:pPr>
        <w:spacing w:after="0" w:line="364" w:lineRule="auto"/>
        <w:sectPr>
          <w:pgSz w:w="11910" w:h="16840"/>
          <w:pgMar w:top="1500" w:right="900" w:bottom="280" w:left="1560" w:header="720" w:footer="720" w:gutter="0"/>
        </w:sectPr>
      </w:pPr>
    </w:p>
    <w:p>
      <w:pPr>
        <w:pStyle w:val="3"/>
        <w:spacing w:before="27" w:line="364" w:lineRule="auto"/>
        <w:ind w:right="898" w:firstLine="643"/>
        <w:jc w:val="both"/>
      </w:pPr>
      <w:r>
        <w:rPr>
          <w:b/>
          <w:spacing w:val="25"/>
        </w:rPr>
        <w:t xml:space="preserve">第二十一条 </w:t>
      </w:r>
      <w:r>
        <w:rPr>
          <w:spacing w:val="-3"/>
        </w:rPr>
        <w:t>为全面综合评价学生学习的质和量，根据</w:t>
      </w:r>
      <w:r>
        <w:rPr>
          <w:spacing w:val="-2"/>
        </w:rPr>
        <w:t>学生所选课程的学分值及考核成绩综合计算学分绩点，学生</w:t>
      </w:r>
      <w:r>
        <w:rPr>
          <w:spacing w:val="-3"/>
        </w:rPr>
        <w:t>每学期考核成绩、学分绩点均记入学生学籍档案。学分绩点</w:t>
      </w:r>
      <w:r>
        <w:rPr>
          <w:spacing w:val="-2"/>
        </w:rPr>
        <w:t>既是学生学习量和质的量化指标，又是评选优秀学生或授予</w:t>
      </w:r>
      <w:r>
        <w:t>其它荣誉称号，以及评定和发放奖学金等的重要依据。</w:t>
      </w:r>
    </w:p>
    <w:p>
      <w:pPr>
        <w:spacing w:before="32"/>
        <w:ind w:left="2749" w:right="0" w:firstLine="0"/>
        <w:jc w:val="both"/>
        <w:rPr>
          <w:sz w:val="28"/>
        </w:rPr>
      </w:pPr>
      <w:r>
        <w:rPr>
          <w:sz w:val="28"/>
        </w:rPr>
        <w:t>表 1  考核成绩与绩点对应关系</w:t>
      </w:r>
    </w:p>
    <w:p>
      <w:pPr>
        <w:pStyle w:val="3"/>
        <w:spacing w:before="4"/>
        <w:ind w:left="0"/>
        <w:rPr>
          <w:sz w:val="10"/>
        </w:rPr>
      </w:pPr>
    </w:p>
    <w:tbl>
      <w:tblPr>
        <w:tblStyle w:val="4"/>
        <w:tblW w:w="0" w:type="auto"/>
        <w:tblInd w:w="14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704"/>
        <w:gridCol w:w="1381"/>
        <w:gridCol w:w="1561"/>
        <w:gridCol w:w="1561"/>
        <w:gridCol w:w="1417"/>
        <w:gridCol w:w="156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3" w:hRule="atLeast"/>
        </w:trPr>
        <w:tc>
          <w:tcPr>
            <w:tcW w:w="1704" w:type="dxa"/>
            <w:tcBorders>
              <w:bottom w:val="single" w:color="000000" w:sz="4" w:space="0"/>
              <w:right w:val="single" w:color="000000" w:sz="4" w:space="0"/>
            </w:tcBorders>
          </w:tcPr>
          <w:p>
            <w:pPr>
              <w:pStyle w:val="8"/>
              <w:jc w:val="left"/>
              <w:rPr>
                <w:sz w:val="28"/>
              </w:rPr>
            </w:pPr>
            <w:r>
              <w:rPr>
                <w:sz w:val="28"/>
              </w:rPr>
              <w:t>课程成绩</w:t>
            </w:r>
          </w:p>
        </w:tc>
        <w:tc>
          <w:tcPr>
            <w:tcW w:w="1381" w:type="dxa"/>
            <w:tcBorders>
              <w:left w:val="single" w:color="000000" w:sz="4" w:space="0"/>
              <w:bottom w:val="single" w:color="000000" w:sz="4" w:space="0"/>
              <w:right w:val="single" w:color="000000" w:sz="4" w:space="0"/>
            </w:tcBorders>
          </w:tcPr>
          <w:p>
            <w:pPr>
              <w:pStyle w:val="8"/>
              <w:ind w:left="116" w:right="91"/>
              <w:rPr>
                <w:sz w:val="28"/>
              </w:rPr>
            </w:pPr>
            <w:r>
              <w:rPr>
                <w:sz w:val="28"/>
              </w:rPr>
              <w:t>100～90</w:t>
            </w:r>
          </w:p>
        </w:tc>
        <w:tc>
          <w:tcPr>
            <w:tcW w:w="1561" w:type="dxa"/>
            <w:tcBorders>
              <w:left w:val="single" w:color="000000" w:sz="4" w:space="0"/>
              <w:bottom w:val="single" w:color="000000" w:sz="4" w:space="0"/>
              <w:right w:val="single" w:color="000000" w:sz="6" w:space="0"/>
            </w:tcBorders>
          </w:tcPr>
          <w:p>
            <w:pPr>
              <w:pStyle w:val="8"/>
              <w:ind w:left="204" w:right="175"/>
              <w:rPr>
                <w:sz w:val="28"/>
              </w:rPr>
            </w:pPr>
            <w:r>
              <w:rPr>
                <w:sz w:val="28"/>
              </w:rPr>
              <w:t>89～80</w:t>
            </w:r>
          </w:p>
        </w:tc>
        <w:tc>
          <w:tcPr>
            <w:tcW w:w="1561" w:type="dxa"/>
            <w:tcBorders>
              <w:left w:val="single" w:color="000000" w:sz="6" w:space="0"/>
              <w:bottom w:val="single" w:color="000000" w:sz="4" w:space="0"/>
              <w:right w:val="single" w:color="000000" w:sz="4" w:space="0"/>
            </w:tcBorders>
          </w:tcPr>
          <w:p>
            <w:pPr>
              <w:pStyle w:val="8"/>
              <w:ind w:left="203" w:right="180"/>
              <w:rPr>
                <w:sz w:val="28"/>
              </w:rPr>
            </w:pPr>
            <w:r>
              <w:rPr>
                <w:sz w:val="28"/>
              </w:rPr>
              <w:t>79～70</w:t>
            </w:r>
          </w:p>
        </w:tc>
        <w:tc>
          <w:tcPr>
            <w:tcW w:w="1417" w:type="dxa"/>
            <w:tcBorders>
              <w:left w:val="single" w:color="000000" w:sz="4" w:space="0"/>
              <w:bottom w:val="single" w:color="000000" w:sz="4" w:space="0"/>
              <w:right w:val="single" w:color="000000" w:sz="4" w:space="0"/>
            </w:tcBorders>
          </w:tcPr>
          <w:p>
            <w:pPr>
              <w:pStyle w:val="8"/>
              <w:ind w:left="134" w:right="111"/>
              <w:rPr>
                <w:sz w:val="28"/>
              </w:rPr>
            </w:pPr>
            <w:r>
              <w:rPr>
                <w:sz w:val="28"/>
              </w:rPr>
              <w:t>69～60</w:t>
            </w:r>
          </w:p>
        </w:tc>
        <w:tc>
          <w:tcPr>
            <w:tcW w:w="1560" w:type="dxa"/>
            <w:tcBorders>
              <w:left w:val="single" w:color="000000" w:sz="4" w:space="0"/>
              <w:bottom w:val="single" w:color="000000" w:sz="4" w:space="0"/>
            </w:tcBorders>
          </w:tcPr>
          <w:p>
            <w:pPr>
              <w:pStyle w:val="8"/>
              <w:ind w:left="138" w:right="102"/>
              <w:rPr>
                <w:sz w:val="28"/>
              </w:rPr>
            </w:pPr>
            <w:r>
              <w:rPr>
                <w:sz w:val="28"/>
              </w:rPr>
              <w:t>60 分以下</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3" w:hRule="atLeast"/>
        </w:trPr>
        <w:tc>
          <w:tcPr>
            <w:tcW w:w="1704" w:type="dxa"/>
            <w:tcBorders>
              <w:top w:val="single" w:color="000000" w:sz="4" w:space="0"/>
              <w:right w:val="single" w:color="000000" w:sz="4" w:space="0"/>
            </w:tcBorders>
          </w:tcPr>
          <w:p>
            <w:pPr>
              <w:pStyle w:val="8"/>
              <w:spacing w:before="135"/>
              <w:jc w:val="left"/>
              <w:rPr>
                <w:sz w:val="28"/>
              </w:rPr>
            </w:pPr>
            <w:r>
              <w:rPr>
                <w:sz w:val="28"/>
              </w:rPr>
              <w:t>课程绩点</w:t>
            </w:r>
          </w:p>
        </w:tc>
        <w:tc>
          <w:tcPr>
            <w:tcW w:w="1381" w:type="dxa"/>
            <w:tcBorders>
              <w:top w:val="single" w:color="000000" w:sz="4" w:space="0"/>
              <w:left w:val="single" w:color="000000" w:sz="4" w:space="0"/>
              <w:right w:val="single" w:color="000000" w:sz="4" w:space="0"/>
            </w:tcBorders>
          </w:tcPr>
          <w:p>
            <w:pPr>
              <w:pStyle w:val="8"/>
              <w:spacing w:before="135"/>
              <w:ind w:left="120" w:right="91"/>
              <w:rPr>
                <w:sz w:val="28"/>
              </w:rPr>
            </w:pPr>
            <w:r>
              <w:rPr>
                <w:sz w:val="28"/>
              </w:rPr>
              <w:t>5.0～4.0</w:t>
            </w:r>
          </w:p>
        </w:tc>
        <w:tc>
          <w:tcPr>
            <w:tcW w:w="1561" w:type="dxa"/>
            <w:tcBorders>
              <w:top w:val="single" w:color="000000" w:sz="4" w:space="0"/>
              <w:left w:val="single" w:color="000000" w:sz="4" w:space="0"/>
              <w:right w:val="single" w:color="000000" w:sz="6" w:space="0"/>
            </w:tcBorders>
          </w:tcPr>
          <w:p>
            <w:pPr>
              <w:pStyle w:val="8"/>
              <w:spacing w:before="135"/>
              <w:ind w:left="204" w:right="177"/>
              <w:rPr>
                <w:sz w:val="28"/>
              </w:rPr>
            </w:pPr>
            <w:r>
              <w:rPr>
                <w:sz w:val="28"/>
              </w:rPr>
              <w:t>3.9～3.0</w:t>
            </w:r>
          </w:p>
        </w:tc>
        <w:tc>
          <w:tcPr>
            <w:tcW w:w="1561" w:type="dxa"/>
            <w:tcBorders>
              <w:top w:val="single" w:color="000000" w:sz="4" w:space="0"/>
              <w:left w:val="single" w:color="000000" w:sz="6" w:space="0"/>
              <w:right w:val="single" w:color="000000" w:sz="4" w:space="0"/>
            </w:tcBorders>
          </w:tcPr>
          <w:p>
            <w:pPr>
              <w:pStyle w:val="8"/>
              <w:spacing w:before="135"/>
              <w:ind w:left="201" w:right="180"/>
              <w:rPr>
                <w:sz w:val="28"/>
              </w:rPr>
            </w:pPr>
            <w:r>
              <w:rPr>
                <w:sz w:val="28"/>
              </w:rPr>
              <w:t>2.9～2.0</w:t>
            </w:r>
          </w:p>
        </w:tc>
        <w:tc>
          <w:tcPr>
            <w:tcW w:w="1417" w:type="dxa"/>
            <w:tcBorders>
              <w:top w:val="single" w:color="000000" w:sz="4" w:space="0"/>
              <w:left w:val="single" w:color="000000" w:sz="4" w:space="0"/>
              <w:right w:val="single" w:color="000000" w:sz="4" w:space="0"/>
            </w:tcBorders>
          </w:tcPr>
          <w:p>
            <w:pPr>
              <w:pStyle w:val="8"/>
              <w:spacing w:before="135"/>
              <w:ind w:left="134" w:right="112"/>
              <w:rPr>
                <w:sz w:val="28"/>
              </w:rPr>
            </w:pPr>
            <w:r>
              <w:rPr>
                <w:sz w:val="28"/>
              </w:rPr>
              <w:t>1.9～1.0</w:t>
            </w:r>
          </w:p>
        </w:tc>
        <w:tc>
          <w:tcPr>
            <w:tcW w:w="1560" w:type="dxa"/>
            <w:tcBorders>
              <w:top w:val="single" w:color="000000" w:sz="4" w:space="0"/>
              <w:left w:val="single" w:color="000000" w:sz="4" w:space="0"/>
            </w:tcBorders>
          </w:tcPr>
          <w:p>
            <w:pPr>
              <w:pStyle w:val="8"/>
              <w:spacing w:before="135"/>
              <w:ind w:left="35"/>
              <w:rPr>
                <w:sz w:val="28"/>
              </w:rPr>
            </w:pPr>
            <w:r>
              <w:rPr>
                <w:w w:val="100"/>
                <w:sz w:val="28"/>
              </w:rPr>
              <w:t>0</w:t>
            </w:r>
          </w:p>
        </w:tc>
      </w:tr>
    </w:tbl>
    <w:p>
      <w:pPr>
        <w:spacing w:before="135"/>
        <w:ind w:left="240" w:right="0" w:firstLine="0"/>
        <w:jc w:val="left"/>
        <w:rPr>
          <w:sz w:val="28"/>
        </w:rPr>
      </w:pPr>
      <w:r>
        <w:rPr>
          <w:sz w:val="28"/>
        </w:rPr>
        <w:t>备注： 60-100 分，成绩每增加 1 分，绩点递增 0.1。</w:t>
      </w:r>
    </w:p>
    <w:p>
      <w:pPr>
        <w:pStyle w:val="3"/>
        <w:spacing w:before="9"/>
        <w:ind w:left="0"/>
        <w:rPr>
          <w:sz w:val="20"/>
        </w:rPr>
      </w:pPr>
    </w:p>
    <w:p>
      <w:pPr>
        <w:spacing w:before="0"/>
        <w:ind w:left="0" w:right="94" w:firstLine="0"/>
        <w:jc w:val="center"/>
        <w:rPr>
          <w:sz w:val="28"/>
        </w:rPr>
      </w:pPr>
      <w:r>
        <w:rPr>
          <w:sz w:val="28"/>
        </w:rPr>
        <w:t>表 2 五级制与绩点换算关系</w:t>
      </w:r>
    </w:p>
    <w:p>
      <w:pPr>
        <w:pStyle w:val="3"/>
        <w:spacing w:before="4"/>
        <w:ind w:left="0"/>
        <w:rPr>
          <w:sz w:val="10"/>
        </w:rPr>
      </w:pPr>
    </w:p>
    <w:tbl>
      <w:tblPr>
        <w:tblStyle w:val="4"/>
        <w:tblW w:w="0" w:type="auto"/>
        <w:tblInd w:w="15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99"/>
        <w:gridCol w:w="1407"/>
        <w:gridCol w:w="1531"/>
        <w:gridCol w:w="1550"/>
        <w:gridCol w:w="1428"/>
        <w:gridCol w:w="155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6" w:hRule="atLeast"/>
        </w:trPr>
        <w:tc>
          <w:tcPr>
            <w:tcW w:w="1699" w:type="dxa"/>
            <w:tcBorders>
              <w:bottom w:val="single" w:color="000000" w:sz="4" w:space="0"/>
              <w:right w:val="single" w:color="000000" w:sz="4" w:space="0"/>
            </w:tcBorders>
          </w:tcPr>
          <w:p>
            <w:pPr>
              <w:pStyle w:val="8"/>
              <w:spacing w:before="135"/>
              <w:ind w:left="266" w:right="250"/>
              <w:rPr>
                <w:sz w:val="28"/>
              </w:rPr>
            </w:pPr>
            <w:r>
              <w:rPr>
                <w:sz w:val="28"/>
              </w:rPr>
              <w:t>五级制</w:t>
            </w:r>
          </w:p>
        </w:tc>
        <w:tc>
          <w:tcPr>
            <w:tcW w:w="1407" w:type="dxa"/>
            <w:tcBorders>
              <w:left w:val="single" w:color="000000" w:sz="4" w:space="0"/>
              <w:bottom w:val="single" w:color="000000" w:sz="4" w:space="0"/>
              <w:right w:val="single" w:color="000000" w:sz="4" w:space="0"/>
            </w:tcBorders>
          </w:tcPr>
          <w:p>
            <w:pPr>
              <w:pStyle w:val="8"/>
              <w:spacing w:before="135"/>
              <w:ind w:left="413" w:right="384"/>
              <w:rPr>
                <w:sz w:val="28"/>
              </w:rPr>
            </w:pPr>
            <w:r>
              <w:rPr>
                <w:sz w:val="28"/>
              </w:rPr>
              <w:t>优秀</w:t>
            </w:r>
          </w:p>
        </w:tc>
        <w:tc>
          <w:tcPr>
            <w:tcW w:w="1531" w:type="dxa"/>
            <w:tcBorders>
              <w:left w:val="single" w:color="000000" w:sz="4" w:space="0"/>
              <w:bottom w:val="single" w:color="000000" w:sz="4" w:space="0"/>
              <w:right w:val="single" w:color="000000" w:sz="6" w:space="0"/>
            </w:tcBorders>
          </w:tcPr>
          <w:p>
            <w:pPr>
              <w:pStyle w:val="8"/>
              <w:spacing w:before="135"/>
              <w:ind w:left="474" w:right="443"/>
              <w:rPr>
                <w:sz w:val="28"/>
              </w:rPr>
            </w:pPr>
            <w:r>
              <w:rPr>
                <w:sz w:val="28"/>
              </w:rPr>
              <w:t>良好</w:t>
            </w:r>
          </w:p>
        </w:tc>
        <w:tc>
          <w:tcPr>
            <w:tcW w:w="1550" w:type="dxa"/>
            <w:tcBorders>
              <w:left w:val="single" w:color="000000" w:sz="6" w:space="0"/>
              <w:bottom w:val="single" w:color="000000" w:sz="4" w:space="0"/>
              <w:right w:val="single" w:color="000000" w:sz="4" w:space="0"/>
            </w:tcBorders>
          </w:tcPr>
          <w:p>
            <w:pPr>
              <w:pStyle w:val="8"/>
              <w:spacing w:before="135"/>
              <w:ind w:left="482" w:right="454"/>
              <w:rPr>
                <w:sz w:val="28"/>
              </w:rPr>
            </w:pPr>
            <w:r>
              <w:rPr>
                <w:sz w:val="28"/>
              </w:rPr>
              <w:t>中等</w:t>
            </w:r>
          </w:p>
        </w:tc>
        <w:tc>
          <w:tcPr>
            <w:tcW w:w="1428" w:type="dxa"/>
            <w:tcBorders>
              <w:left w:val="single" w:color="000000" w:sz="4" w:space="0"/>
              <w:bottom w:val="single" w:color="000000" w:sz="4" w:space="0"/>
              <w:right w:val="single" w:color="000000" w:sz="4" w:space="0"/>
            </w:tcBorders>
          </w:tcPr>
          <w:p>
            <w:pPr>
              <w:pStyle w:val="8"/>
              <w:spacing w:before="135"/>
              <w:ind w:left="425" w:right="392"/>
              <w:rPr>
                <w:sz w:val="28"/>
              </w:rPr>
            </w:pPr>
            <w:r>
              <w:rPr>
                <w:sz w:val="28"/>
              </w:rPr>
              <w:t>及格</w:t>
            </w:r>
          </w:p>
        </w:tc>
        <w:tc>
          <w:tcPr>
            <w:tcW w:w="1559" w:type="dxa"/>
            <w:tcBorders>
              <w:left w:val="single" w:color="000000" w:sz="4" w:space="0"/>
              <w:bottom w:val="single" w:color="000000" w:sz="4" w:space="0"/>
            </w:tcBorders>
          </w:tcPr>
          <w:p>
            <w:pPr>
              <w:pStyle w:val="8"/>
              <w:spacing w:before="135"/>
              <w:ind w:left="352" w:right="307"/>
              <w:rPr>
                <w:sz w:val="28"/>
              </w:rPr>
            </w:pPr>
            <w:r>
              <w:rPr>
                <w:sz w:val="28"/>
              </w:rPr>
              <w:t>不及格</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0" w:hRule="atLeast"/>
        </w:trPr>
        <w:tc>
          <w:tcPr>
            <w:tcW w:w="1699" w:type="dxa"/>
            <w:tcBorders>
              <w:top w:val="single" w:color="000000" w:sz="4" w:space="0"/>
              <w:right w:val="single" w:color="000000" w:sz="4" w:space="0"/>
            </w:tcBorders>
          </w:tcPr>
          <w:p>
            <w:pPr>
              <w:pStyle w:val="8"/>
              <w:ind w:left="269" w:right="250"/>
              <w:rPr>
                <w:sz w:val="28"/>
              </w:rPr>
            </w:pPr>
            <w:r>
              <w:rPr>
                <w:sz w:val="28"/>
              </w:rPr>
              <w:t>课程绩点</w:t>
            </w:r>
          </w:p>
        </w:tc>
        <w:tc>
          <w:tcPr>
            <w:tcW w:w="1407" w:type="dxa"/>
            <w:tcBorders>
              <w:top w:val="single" w:color="000000" w:sz="4" w:space="0"/>
              <w:left w:val="single" w:color="000000" w:sz="4" w:space="0"/>
              <w:right w:val="single" w:color="000000" w:sz="4" w:space="0"/>
            </w:tcBorders>
          </w:tcPr>
          <w:p>
            <w:pPr>
              <w:pStyle w:val="8"/>
              <w:ind w:left="412" w:right="384"/>
              <w:rPr>
                <w:sz w:val="28"/>
              </w:rPr>
            </w:pPr>
            <w:r>
              <w:rPr>
                <w:sz w:val="28"/>
              </w:rPr>
              <w:t>4.5</w:t>
            </w:r>
          </w:p>
        </w:tc>
        <w:tc>
          <w:tcPr>
            <w:tcW w:w="1531" w:type="dxa"/>
            <w:tcBorders>
              <w:top w:val="single" w:color="000000" w:sz="4" w:space="0"/>
              <w:left w:val="single" w:color="000000" w:sz="4" w:space="0"/>
              <w:right w:val="single" w:color="000000" w:sz="6" w:space="0"/>
            </w:tcBorders>
          </w:tcPr>
          <w:p>
            <w:pPr>
              <w:pStyle w:val="8"/>
              <w:ind w:left="473" w:right="443"/>
              <w:rPr>
                <w:sz w:val="28"/>
              </w:rPr>
            </w:pPr>
            <w:r>
              <w:rPr>
                <w:sz w:val="28"/>
              </w:rPr>
              <w:t>3.5</w:t>
            </w:r>
          </w:p>
        </w:tc>
        <w:tc>
          <w:tcPr>
            <w:tcW w:w="1550" w:type="dxa"/>
            <w:tcBorders>
              <w:top w:val="single" w:color="000000" w:sz="4" w:space="0"/>
              <w:left w:val="single" w:color="000000" w:sz="6" w:space="0"/>
              <w:right w:val="single" w:color="000000" w:sz="4" w:space="0"/>
            </w:tcBorders>
          </w:tcPr>
          <w:p>
            <w:pPr>
              <w:pStyle w:val="8"/>
              <w:ind w:left="480" w:right="454"/>
              <w:rPr>
                <w:sz w:val="28"/>
              </w:rPr>
            </w:pPr>
            <w:r>
              <w:rPr>
                <w:sz w:val="28"/>
              </w:rPr>
              <w:t>2.5</w:t>
            </w:r>
          </w:p>
        </w:tc>
        <w:tc>
          <w:tcPr>
            <w:tcW w:w="1428" w:type="dxa"/>
            <w:tcBorders>
              <w:top w:val="single" w:color="000000" w:sz="4" w:space="0"/>
              <w:left w:val="single" w:color="000000" w:sz="4" w:space="0"/>
              <w:right w:val="single" w:color="000000" w:sz="4" w:space="0"/>
            </w:tcBorders>
          </w:tcPr>
          <w:p>
            <w:pPr>
              <w:pStyle w:val="8"/>
              <w:ind w:left="423" w:right="392"/>
              <w:rPr>
                <w:sz w:val="28"/>
              </w:rPr>
            </w:pPr>
            <w:r>
              <w:rPr>
                <w:sz w:val="28"/>
              </w:rPr>
              <w:t>1.5</w:t>
            </w:r>
          </w:p>
        </w:tc>
        <w:tc>
          <w:tcPr>
            <w:tcW w:w="1559" w:type="dxa"/>
            <w:tcBorders>
              <w:top w:val="single" w:color="000000" w:sz="4" w:space="0"/>
              <w:left w:val="single" w:color="000000" w:sz="4" w:space="0"/>
            </w:tcBorders>
          </w:tcPr>
          <w:p>
            <w:pPr>
              <w:pStyle w:val="8"/>
              <w:ind w:left="44"/>
              <w:rPr>
                <w:sz w:val="28"/>
              </w:rPr>
            </w:pPr>
            <w:r>
              <w:rPr>
                <w:w w:val="100"/>
                <w:sz w:val="28"/>
              </w:rPr>
              <w:t>0</w:t>
            </w:r>
          </w:p>
        </w:tc>
      </w:tr>
    </w:tbl>
    <w:p>
      <w:pPr>
        <w:pStyle w:val="3"/>
        <w:ind w:left="0"/>
        <w:rPr>
          <w:sz w:val="20"/>
        </w:rPr>
      </w:pPr>
    </w:p>
    <w:p>
      <w:pPr>
        <w:pStyle w:val="3"/>
        <w:ind w:left="0"/>
        <w:rPr>
          <w:sz w:val="20"/>
        </w:rPr>
      </w:pPr>
    </w:p>
    <w:p>
      <w:pPr>
        <w:tabs>
          <w:tab w:val="left" w:pos="2813"/>
        </w:tabs>
        <w:spacing w:before="218"/>
        <w:ind w:left="883" w:right="0" w:firstLine="0"/>
        <w:jc w:val="left"/>
        <w:rPr>
          <w:sz w:val="32"/>
        </w:rPr>
      </w:pPr>
      <w:r>
        <w:rPr>
          <w:b/>
          <w:sz w:val="32"/>
        </w:rPr>
        <w:t>第二十二条</w:t>
      </w:r>
      <w:r>
        <w:rPr>
          <w:b/>
          <w:sz w:val="32"/>
        </w:rPr>
        <w:tab/>
      </w:r>
      <w:r>
        <w:rPr>
          <w:sz w:val="32"/>
        </w:rPr>
        <w:t>学分绩点、平均学分绩点的计算方法如</w:t>
      </w:r>
    </w:p>
    <w:p>
      <w:pPr>
        <w:pStyle w:val="3"/>
        <w:spacing w:before="214"/>
      </w:pPr>
      <w:r>
        <w:t>下:</w:t>
      </w:r>
    </w:p>
    <w:p>
      <w:pPr>
        <w:pStyle w:val="3"/>
        <w:spacing w:before="214"/>
        <w:ind w:left="881"/>
      </w:pPr>
      <w:r>
        <w:t>（一）某一课程的学分绩点数计算：修读课程所得学分</w:t>
      </w:r>
    </w:p>
    <w:p>
      <w:pPr>
        <w:pStyle w:val="3"/>
        <w:spacing w:before="7"/>
        <w:ind w:left="0"/>
        <w:rPr>
          <w:sz w:val="12"/>
        </w:rPr>
      </w:pPr>
    </w:p>
    <w:p>
      <w:pPr>
        <w:pStyle w:val="3"/>
        <w:spacing w:before="54"/>
      </w:pPr>
      <w:r>
        <w:t>数乘以所得绩点数；</w:t>
      </w:r>
    </w:p>
    <w:p>
      <w:pPr>
        <w:spacing w:before="142"/>
        <w:ind w:left="1744" w:right="0" w:firstLine="0"/>
        <w:jc w:val="left"/>
        <w:rPr>
          <w:rFonts w:hint="eastAsia" w:ascii="华文仿宋" w:hAnsi="华文仿宋" w:eastAsia="华文仿宋"/>
          <w:sz w:val="30"/>
        </w:rPr>
      </w:pPr>
      <w:r>
        <w:rPr>
          <w:rFonts w:hint="eastAsia" w:ascii="华文仿宋" w:hAnsi="华文仿宋" w:eastAsia="华文仿宋"/>
          <w:w w:val="105"/>
          <w:sz w:val="30"/>
        </w:rPr>
        <w:t>课程学分绩点</w:t>
      </w:r>
      <w:r>
        <w:rPr>
          <w:rFonts w:ascii="Symbol" w:hAnsi="Symbol" w:eastAsia="Symbol"/>
          <w:w w:val="105"/>
          <w:sz w:val="30"/>
        </w:rPr>
        <w:t></w:t>
      </w:r>
      <w:r>
        <w:rPr>
          <w:rFonts w:ascii="Times New Roman" w:hAnsi="Times New Roman" w:eastAsia="Times New Roman"/>
          <w:w w:val="105"/>
          <w:sz w:val="30"/>
        </w:rPr>
        <w:t xml:space="preserve"> </w:t>
      </w:r>
      <w:r>
        <w:rPr>
          <w:rFonts w:hint="eastAsia" w:ascii="华文仿宋" w:hAnsi="华文仿宋" w:eastAsia="华文仿宋"/>
          <w:w w:val="105"/>
          <w:sz w:val="30"/>
        </w:rPr>
        <w:t>课程绩点数</w:t>
      </w:r>
      <w:r>
        <w:rPr>
          <w:rFonts w:ascii="Symbol" w:hAnsi="Symbol" w:eastAsia="Symbol"/>
          <w:w w:val="105"/>
          <w:sz w:val="30"/>
        </w:rPr>
        <w:t></w:t>
      </w:r>
      <w:r>
        <w:rPr>
          <w:rFonts w:hint="eastAsia" w:ascii="华文仿宋" w:hAnsi="华文仿宋" w:eastAsia="华文仿宋"/>
          <w:w w:val="105"/>
          <w:sz w:val="30"/>
        </w:rPr>
        <w:t>课程学分</w:t>
      </w:r>
    </w:p>
    <w:p>
      <w:pPr>
        <w:pStyle w:val="3"/>
        <w:spacing w:before="204" w:line="364" w:lineRule="auto"/>
        <w:ind w:right="901" w:firstLine="640"/>
        <w:jc w:val="both"/>
      </w:pPr>
      <w:r>
        <w:t>（二</w:t>
      </w:r>
      <w:r>
        <w:rPr>
          <w:spacing w:val="-8"/>
        </w:rPr>
        <w:t>）</w:t>
      </w:r>
      <w:r>
        <w:rPr>
          <w:spacing w:val="-2"/>
        </w:rPr>
        <w:t>平均学分绩点计算：学生学期内所修全部课程所</w:t>
      </w:r>
      <w:r>
        <w:rPr>
          <w:spacing w:val="-3"/>
        </w:rPr>
        <w:t>得的学分绩点总和，除以同期内修读的学分总和。学生修读的某课程考核不及格，则该课程获取学分为零，但在计算平</w:t>
      </w:r>
      <w:r>
        <w:rPr>
          <w:spacing w:val="-4"/>
        </w:rPr>
        <w:t>均学分绩点时，其分母“课程学分”求和时不及格课程学分</w:t>
      </w:r>
    </w:p>
    <w:p>
      <w:pPr>
        <w:spacing w:after="0" w:line="364" w:lineRule="auto"/>
        <w:jc w:val="both"/>
        <w:sectPr>
          <w:pgSz w:w="11910" w:h="16840"/>
          <w:pgMar w:top="1500" w:right="900" w:bottom="280" w:left="1560" w:header="720" w:footer="720" w:gutter="0"/>
        </w:sectPr>
      </w:pPr>
    </w:p>
    <w:p>
      <w:pPr>
        <w:pStyle w:val="3"/>
        <w:spacing w:before="27"/>
      </w:pPr>
      <w:r>
        <w:t>应按该课程规定学分数计算在内。</w:t>
      </w:r>
    </w:p>
    <w:p>
      <w:pPr>
        <w:spacing w:before="263" w:line="148" w:lineRule="auto"/>
        <w:ind w:left="0" w:right="390" w:firstLine="0"/>
        <w:jc w:val="center"/>
        <w:rPr>
          <w:rFonts w:hint="eastAsia" w:ascii="华文仿宋" w:hAnsi="华文仿宋" w:eastAsia="华文仿宋"/>
          <w:sz w:val="30"/>
        </w:rPr>
      </w:pPr>
      <w:r>
        <mc:AlternateContent>
          <mc:Choice Requires="wps">
            <w:drawing>
              <wp:anchor distT="0" distB="0" distL="114300" distR="114300" simplePos="0" relativeHeight="251380736" behindDoc="1" locked="0" layoutInCell="1" allowOverlap="1">
                <wp:simplePos x="0" y="0"/>
                <wp:positionH relativeFrom="page">
                  <wp:posOffset>3015615</wp:posOffset>
                </wp:positionH>
                <wp:positionV relativeFrom="paragraph">
                  <wp:posOffset>417830</wp:posOffset>
                </wp:positionV>
                <wp:extent cx="3029585" cy="0"/>
                <wp:effectExtent l="0" t="0" r="0" b="0"/>
                <wp:wrapNone/>
                <wp:docPr id="1" name="直线 2"/>
                <wp:cNvGraphicFramePr/>
                <a:graphic xmlns:a="http://schemas.openxmlformats.org/drawingml/2006/main">
                  <a:graphicData uri="http://schemas.microsoft.com/office/word/2010/wordprocessingShape">
                    <wps:wsp>
                      <wps:cNvSpPr/>
                      <wps:spPr>
                        <a:xfrm>
                          <a:off x="0" y="0"/>
                          <a:ext cx="3029585" cy="0"/>
                        </a:xfrm>
                        <a:prstGeom prst="line">
                          <a:avLst/>
                        </a:prstGeom>
                        <a:ln w="6241"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37.45pt;margin-top:32.9pt;height:0pt;width:238.55pt;mso-position-horizontal-relative:page;z-index:-251935744;mso-width-relative:page;mso-height-relative:page;" filled="f" stroked="t" coordsize="21600,21600" o:gfxdata="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ZTIH1QAA&#10;AAkBAAAPAAAAAAAAAAEAIAAAACIAAABkcnMvZG93bnJldi54bWxQSwECFAAUAAAACACHTuJAPh7u&#10;+OgBAADbAwAADgAAAAAAAAABACAAAAAkAQAAZHJzL2Uyb0RvYy54bWxQSwUGAAAAAAYABgBZAQAA&#10;fgUAAAAA&#10;">
                <v:fill on="f" focussize="0,0"/>
                <v:stroke weight="0.491417322834646pt" color="#000000" joinstyle="round"/>
                <v:imagedata o:title=""/>
                <o:lock v:ext="edit" aspectratio="f"/>
              </v:line>
            </w:pict>
          </mc:Fallback>
        </mc:AlternateContent>
      </w:r>
      <w:r>
        <w:rPr>
          <w:rFonts w:hint="eastAsia" w:ascii="华文仿宋" w:hAnsi="华文仿宋" w:eastAsia="华文仿宋"/>
          <w:w w:val="105"/>
          <w:position w:val="-18"/>
          <w:sz w:val="30"/>
        </w:rPr>
        <w:t>平均学分绩点</w:t>
      </w:r>
      <w:r>
        <w:rPr>
          <w:rFonts w:ascii="Symbol" w:hAnsi="Symbol" w:eastAsia="Symbol"/>
          <w:w w:val="105"/>
          <w:position w:val="-18"/>
          <w:sz w:val="30"/>
        </w:rPr>
        <w:t></w:t>
      </w:r>
      <w:r>
        <w:rPr>
          <w:rFonts w:ascii="Times New Roman" w:hAnsi="Times New Roman" w:eastAsia="Times New Roman"/>
          <w:w w:val="105"/>
          <w:position w:val="-18"/>
          <w:sz w:val="30"/>
        </w:rPr>
        <w:t xml:space="preserve"> </w:t>
      </w:r>
      <w:r>
        <w:rPr>
          <w:rFonts w:ascii="Symbol" w:hAnsi="Symbol" w:eastAsia="Symbol"/>
          <w:w w:val="105"/>
          <w:position w:val="-3"/>
          <w:sz w:val="36"/>
        </w:rPr>
        <w:t></w:t>
      </w:r>
      <w:r>
        <w:rPr>
          <w:rFonts w:hint="eastAsia" w:ascii="华文仿宋" w:hAnsi="华文仿宋" w:eastAsia="华文仿宋"/>
          <w:w w:val="105"/>
          <w:sz w:val="30"/>
        </w:rPr>
        <w:t>修读课程所得学分数</w:t>
      </w:r>
      <w:r>
        <w:rPr>
          <w:rFonts w:ascii="Symbol" w:hAnsi="Symbol" w:eastAsia="Symbol"/>
          <w:w w:val="105"/>
          <w:sz w:val="30"/>
        </w:rPr>
        <w:t></w:t>
      </w:r>
      <w:r>
        <w:rPr>
          <w:rFonts w:hint="eastAsia" w:ascii="华文仿宋" w:hAnsi="华文仿宋" w:eastAsia="华文仿宋"/>
          <w:w w:val="105"/>
          <w:sz w:val="30"/>
        </w:rPr>
        <w:t>课程绩点数</w:t>
      </w:r>
    </w:p>
    <w:p>
      <w:pPr>
        <w:spacing w:before="0" w:line="361" w:lineRule="exact"/>
        <w:ind w:left="4682" w:right="0" w:firstLine="0"/>
        <w:jc w:val="left"/>
        <w:rPr>
          <w:rFonts w:hint="eastAsia" w:ascii="华文仿宋" w:hAnsi="华文仿宋" w:eastAsia="华文仿宋"/>
          <w:sz w:val="30"/>
        </w:rPr>
      </w:pPr>
      <w:r>
        <w:rPr>
          <w:rFonts w:ascii="Symbol" w:hAnsi="Symbol" w:eastAsia="Symbol"/>
          <w:w w:val="105"/>
          <w:position w:val="-3"/>
          <w:sz w:val="36"/>
        </w:rPr>
        <w:t></w:t>
      </w:r>
      <w:r>
        <w:rPr>
          <w:rFonts w:hint="eastAsia" w:ascii="华文仿宋" w:hAnsi="华文仿宋" w:eastAsia="华文仿宋"/>
          <w:w w:val="105"/>
          <w:sz w:val="30"/>
        </w:rPr>
        <w:t>课程学分数</w:t>
      </w:r>
    </w:p>
    <w:p>
      <w:pPr>
        <w:pStyle w:val="3"/>
        <w:spacing w:before="15"/>
        <w:ind w:left="0"/>
        <w:rPr>
          <w:rFonts w:ascii="华文仿宋"/>
          <w:sz w:val="27"/>
        </w:rPr>
      </w:pPr>
    </w:p>
    <w:p>
      <w:pPr>
        <w:pStyle w:val="3"/>
        <w:spacing w:before="55" w:line="364" w:lineRule="auto"/>
        <w:ind w:right="898" w:firstLine="643"/>
        <w:jc w:val="both"/>
      </w:pPr>
      <w:r>
        <w:rPr>
          <w:b/>
          <w:spacing w:val="25"/>
        </w:rPr>
        <w:t xml:space="preserve">第二十三条 </w:t>
      </w:r>
      <w:r>
        <w:rPr>
          <w:spacing w:val="-3"/>
        </w:rPr>
        <w:t>补考和重修考试及格者取得相应学分，但补考课程和重修课程绩点为零。补考和重修成绩在考试性质</w:t>
      </w:r>
      <w:r>
        <w:rPr>
          <w:spacing w:val="-18"/>
        </w:rPr>
        <w:t>栏内须注明“补考”或“重修”</w:t>
      </w:r>
      <w:r>
        <w:rPr>
          <w:spacing w:val="-56"/>
        </w:rPr>
        <w:t>（</w:t>
      </w:r>
      <w:r>
        <w:t>因缓考参加补考的除外</w:t>
      </w:r>
      <w:r>
        <w:rPr>
          <w:spacing w:val="-53"/>
        </w:rPr>
        <w:t>）</w:t>
      </w:r>
      <w:r>
        <w:rPr>
          <w:spacing w:val="-13"/>
        </w:rPr>
        <w:t>。</w:t>
      </w:r>
    </w:p>
    <w:p>
      <w:pPr>
        <w:pStyle w:val="3"/>
        <w:ind w:left="0"/>
      </w:pPr>
    </w:p>
    <w:p>
      <w:pPr>
        <w:pStyle w:val="2"/>
        <w:spacing w:before="217"/>
        <w:ind w:left="2547"/>
      </w:pPr>
      <w:r>
        <w:t>第六章 补考、缓考与重修</w:t>
      </w:r>
    </w:p>
    <w:p>
      <w:pPr>
        <w:pStyle w:val="3"/>
        <w:spacing w:before="214" w:line="364" w:lineRule="auto"/>
        <w:ind w:right="897" w:firstLine="643"/>
        <w:jc w:val="both"/>
      </w:pPr>
      <w:r>
        <w:rPr>
          <w:b/>
          <w:spacing w:val="25"/>
        </w:rPr>
        <w:t xml:space="preserve">第二十四条 </w:t>
      </w:r>
      <w:r>
        <w:rPr>
          <w:spacing w:val="-4"/>
        </w:rPr>
        <w:t>学生修读必修课程，期末总评成绩不及格</w:t>
      </w:r>
      <w:r>
        <w:rPr>
          <w:spacing w:val="-15"/>
        </w:rPr>
        <w:t xml:space="preserve">但在 </w:t>
      </w:r>
      <w:r>
        <w:t>45</w:t>
      </w:r>
      <w:r>
        <w:rPr>
          <w:spacing w:val="-11"/>
        </w:rPr>
        <w:t xml:space="preserve"> 分以上，可免费参加 </w:t>
      </w:r>
      <w:r>
        <w:t>1</w:t>
      </w:r>
      <w:r>
        <w:rPr>
          <w:spacing w:val="-8"/>
        </w:rPr>
        <w:t xml:space="preserve"> 次学期初由学校组织的课程</w:t>
      </w:r>
      <w:r>
        <w:rPr>
          <w:spacing w:val="-4"/>
        </w:rPr>
        <w:t>补考。选修课不安排补考，课程不及格，不获得学分，不记</w:t>
      </w:r>
      <w:r>
        <w:t>载成绩，可在后续学期另选其他课程或重新选择该课。</w:t>
      </w:r>
    </w:p>
    <w:p>
      <w:pPr>
        <w:pStyle w:val="3"/>
        <w:spacing w:before="3" w:line="364" w:lineRule="auto"/>
        <w:ind w:right="897" w:firstLine="643"/>
        <w:jc w:val="both"/>
      </w:pPr>
      <w:r>
        <w:rPr>
          <w:b/>
          <w:spacing w:val="25"/>
        </w:rPr>
        <w:t xml:space="preserve">第二十五条 </w:t>
      </w:r>
      <w:r>
        <w:rPr>
          <w:spacing w:val="-3"/>
        </w:rPr>
        <w:t>学生因个人原因不能参加考试时，需在考</w:t>
      </w:r>
      <w:r>
        <w:rPr>
          <w:spacing w:val="-2"/>
        </w:rPr>
        <w:t>前由学生向本人所在二级学院提出缓考申请，并提交有关证</w:t>
      </w:r>
      <w:r>
        <w:rPr>
          <w:spacing w:val="-5"/>
        </w:rPr>
        <w:t>明，填写缓考申请表，提交所在二级学院审批，可以不参加</w:t>
      </w:r>
      <w:r>
        <w:t>本次考试，并及时通知任课教师。</w:t>
      </w:r>
    </w:p>
    <w:p>
      <w:pPr>
        <w:pStyle w:val="3"/>
        <w:spacing w:before="4" w:line="364" w:lineRule="auto"/>
        <w:ind w:right="897" w:firstLine="643"/>
        <w:jc w:val="both"/>
      </w:pPr>
      <w:r>
        <w:rPr>
          <w:b/>
          <w:spacing w:val="25"/>
        </w:rPr>
        <w:t xml:space="preserve">第二十六条 </w:t>
      </w:r>
      <w:r>
        <w:rPr>
          <w:spacing w:val="-5"/>
        </w:rPr>
        <w:t>如遇重大活动、学科竞赛、技能竞赛、文</w:t>
      </w:r>
      <w:r>
        <w:rPr>
          <w:spacing w:val="-3"/>
        </w:rPr>
        <w:t>体竞赛等与考试冲突的，由组织者向学生所在二级学院统一</w:t>
      </w:r>
      <w:r>
        <w:rPr>
          <w:spacing w:val="-4"/>
        </w:rPr>
        <w:t>提出缓考书面申请，经批准后，可以不参加本次考试，由组</w:t>
      </w:r>
      <w:r>
        <w:t>织者及时通知有关任课教师。</w:t>
      </w:r>
    </w:p>
    <w:p>
      <w:pPr>
        <w:pStyle w:val="3"/>
        <w:spacing w:before="3" w:line="364" w:lineRule="auto"/>
        <w:ind w:right="893" w:firstLine="643"/>
        <w:jc w:val="both"/>
      </w:pPr>
      <w:r>
        <w:rPr>
          <w:b/>
          <w:spacing w:val="12"/>
        </w:rPr>
        <w:t xml:space="preserve">第二十七条 </w:t>
      </w:r>
      <w:r>
        <w:rPr>
          <w:spacing w:val="10"/>
        </w:rPr>
        <w:t>缓考课程可随下一学期开学初的补考一</w:t>
      </w:r>
      <w:r>
        <w:rPr>
          <w:spacing w:val="-22"/>
        </w:rPr>
        <w:t xml:space="preserve">同进行，考试成绩按正常成绩记载。一门课程只能缓考 </w:t>
      </w:r>
      <w:r>
        <w:t>1</w:t>
      </w:r>
      <w:r>
        <w:rPr>
          <w:spacing w:val="-34"/>
        </w:rPr>
        <w:t xml:space="preserve"> 次，</w:t>
      </w:r>
    </w:p>
    <w:p>
      <w:pPr>
        <w:spacing w:after="0" w:line="364" w:lineRule="auto"/>
        <w:jc w:val="both"/>
        <w:sectPr>
          <w:pgSz w:w="11910" w:h="16840"/>
          <w:pgMar w:top="1500" w:right="900" w:bottom="280" w:left="1560" w:header="720" w:footer="720" w:gutter="0"/>
        </w:sectPr>
      </w:pPr>
    </w:p>
    <w:p>
      <w:pPr>
        <w:pStyle w:val="3"/>
        <w:spacing w:before="27" w:line="364" w:lineRule="auto"/>
        <w:ind w:right="898"/>
        <w:jc w:val="both"/>
      </w:pPr>
      <w:r>
        <w:rPr>
          <w:spacing w:val="-1"/>
        </w:rPr>
        <w:t>缓考成绩不及格或缺席考试</w:t>
      </w:r>
      <w:r>
        <w:t>（简称缺考</w:t>
      </w:r>
      <w:r>
        <w:rPr>
          <w:spacing w:val="-4"/>
        </w:rPr>
        <w:t>），学校不再安排补考，直接重修。未办理缓考手续缺考者，按缺考处理，缺考</w:t>
      </w:r>
      <w:r>
        <w:t>课程必须重修。</w:t>
      </w:r>
    </w:p>
    <w:p>
      <w:pPr>
        <w:pStyle w:val="3"/>
        <w:spacing w:before="2" w:line="364" w:lineRule="auto"/>
        <w:ind w:right="897" w:firstLine="643"/>
        <w:jc w:val="both"/>
      </w:pPr>
      <w:r>
        <w:rPr>
          <w:b/>
        </w:rPr>
        <w:t xml:space="preserve">第二十八条 </w:t>
      </w:r>
      <w:r>
        <w:t>课程重修具体见《江苏旅游职业学院学生课程重修管理办法》。</w:t>
      </w:r>
    </w:p>
    <w:p>
      <w:pPr>
        <w:pStyle w:val="3"/>
        <w:ind w:left="0"/>
      </w:pPr>
    </w:p>
    <w:p>
      <w:pPr>
        <w:pStyle w:val="2"/>
        <w:spacing w:before="216"/>
        <w:ind w:left="3027"/>
      </w:pPr>
      <w:r>
        <w:t>第七章 毕业与结业</w:t>
      </w:r>
    </w:p>
    <w:p>
      <w:pPr>
        <w:pStyle w:val="3"/>
        <w:spacing w:before="214" w:line="364" w:lineRule="auto"/>
        <w:ind w:right="750" w:firstLine="643"/>
        <w:jc w:val="both"/>
      </w:pPr>
      <w:r>
        <w:rPr>
          <w:b/>
        </w:rPr>
        <w:t xml:space="preserve">第二十九条 </w:t>
      </w:r>
      <w:r>
        <w:t>学生毕业时应作毕业资格审定。凡在籍学生，德、智、体、美、劳合格，在规定修业年限内修满人才</w:t>
      </w:r>
      <w:r>
        <w:rPr>
          <w:w w:val="95"/>
        </w:rPr>
        <w:t>培养方案所规定的课程和学分，准予毕业并颁发毕业证书。</w:t>
      </w:r>
    </w:p>
    <w:p>
      <w:pPr>
        <w:pStyle w:val="3"/>
        <w:tabs>
          <w:tab w:val="left" w:pos="2489"/>
        </w:tabs>
        <w:spacing w:before="2" w:line="364" w:lineRule="auto"/>
        <w:ind w:right="579" w:firstLine="643"/>
      </w:pPr>
      <w:r>
        <w:rPr>
          <w:b/>
        </w:rPr>
        <w:t>第三十条</w:t>
      </w:r>
      <w:r>
        <w:rPr>
          <w:b/>
        </w:rPr>
        <w:tab/>
      </w:r>
      <w:r>
        <w:t>对提前修满学分的学生</w:t>
      </w:r>
      <w:r>
        <w:rPr>
          <w:spacing w:val="-22"/>
        </w:rPr>
        <w:t>，</w:t>
      </w:r>
      <w:r>
        <w:t>可准予提前参加顶 岗实习</w:t>
      </w:r>
      <w:r>
        <w:rPr>
          <w:spacing w:val="-5"/>
        </w:rPr>
        <w:t>，</w:t>
      </w:r>
      <w:r>
        <w:t>并鼓励其选修第二专业和其它课程</w:t>
      </w:r>
      <w:r>
        <w:rPr>
          <w:spacing w:val="-8"/>
        </w:rPr>
        <w:t>。</w:t>
      </w:r>
      <w:r>
        <w:t>申请提前顶岗 实习的学生须向所在二级学院提出书面申请</w:t>
      </w:r>
      <w:r>
        <w:rPr>
          <w:spacing w:val="-13"/>
        </w:rPr>
        <w:t>，</w:t>
      </w:r>
      <w:r>
        <w:t>报教务处审核</w:t>
      </w:r>
      <w:r>
        <w:rPr>
          <w:spacing w:val="-14"/>
        </w:rPr>
        <w:t xml:space="preserve">， </w:t>
      </w:r>
      <w:r>
        <w:t>上报学校批准后实施。</w:t>
      </w:r>
    </w:p>
    <w:p>
      <w:pPr>
        <w:pStyle w:val="3"/>
        <w:tabs>
          <w:tab w:val="left" w:pos="2811"/>
        </w:tabs>
        <w:spacing w:before="4" w:line="364" w:lineRule="auto"/>
        <w:ind w:right="901" w:firstLine="643"/>
      </w:pPr>
      <w:r>
        <w:rPr>
          <w:b/>
        </w:rPr>
        <w:t>第三十一条</w:t>
      </w:r>
      <w:r>
        <w:rPr>
          <w:b/>
        </w:rPr>
        <w:tab/>
      </w:r>
      <w:r>
        <w:t>对于在规定年限内不能获得规定学分的学生应延期毕业</w:t>
      </w:r>
      <w:r>
        <w:rPr>
          <w:spacing w:val="-5"/>
        </w:rPr>
        <w:t>，</w:t>
      </w:r>
      <w:r>
        <w:t>可先发结业证书</w:t>
      </w:r>
      <w:r>
        <w:rPr>
          <w:spacing w:val="-8"/>
        </w:rPr>
        <w:t>；</w:t>
      </w:r>
      <w:r>
        <w:t>学生可在规定最长修</w:t>
      </w:r>
      <w:r>
        <w:rPr>
          <w:spacing w:val="-15"/>
        </w:rPr>
        <w:t>业</w:t>
      </w:r>
      <w:r>
        <w:t>年限内</w:t>
      </w:r>
      <w:r>
        <w:rPr>
          <w:spacing w:val="-3"/>
        </w:rPr>
        <w:t>，</w:t>
      </w:r>
      <w:r>
        <w:t>参加学校组织的考核</w:t>
      </w:r>
      <w:r>
        <w:rPr>
          <w:spacing w:val="-5"/>
        </w:rPr>
        <w:t>，</w:t>
      </w:r>
      <w:r>
        <w:t>取得规定学分</w:t>
      </w:r>
      <w:r>
        <w:rPr>
          <w:spacing w:val="-5"/>
        </w:rPr>
        <w:t>，</w:t>
      </w:r>
      <w:r>
        <w:t>换发毕业</w:t>
      </w:r>
      <w:r>
        <w:rPr>
          <w:spacing w:val="-15"/>
        </w:rPr>
        <w:t>证</w:t>
      </w:r>
      <w:r>
        <w:t>书</w:t>
      </w:r>
      <w:r>
        <w:rPr>
          <w:spacing w:val="-8"/>
        </w:rPr>
        <w:t>。</w:t>
      </w:r>
      <w:r>
        <w:t>超过规定最长修业年限仍未取得规定学分</w:t>
      </w:r>
      <w:r>
        <w:rPr>
          <w:spacing w:val="-8"/>
        </w:rPr>
        <w:t>，</w:t>
      </w:r>
      <w:r>
        <w:t>按永久结</w:t>
      </w:r>
      <w:r>
        <w:rPr>
          <w:spacing w:val="-14"/>
        </w:rPr>
        <w:t>业</w:t>
      </w:r>
      <w:r>
        <w:t>处理。</w:t>
      </w:r>
    </w:p>
    <w:p>
      <w:pPr>
        <w:pStyle w:val="3"/>
        <w:tabs>
          <w:tab w:val="left" w:pos="2811"/>
        </w:tabs>
        <w:spacing w:before="5" w:line="364" w:lineRule="auto"/>
        <w:ind w:right="1195" w:firstLine="643"/>
      </w:pPr>
      <w:r>
        <w:rPr>
          <w:b/>
        </w:rPr>
        <w:t>第三十二条</w:t>
      </w:r>
      <w:r>
        <w:rPr>
          <w:b/>
        </w:rPr>
        <w:tab/>
      </w:r>
      <w:r>
        <w:t>学生提前或延期毕业的时间以学期为</w:t>
      </w:r>
      <w:r>
        <w:rPr>
          <w:spacing w:val="-16"/>
        </w:rPr>
        <w:t>单</w:t>
      </w:r>
      <w:r>
        <w:t>位，有关毕业离校手续一律在毕业学期期末办理。</w:t>
      </w:r>
    </w:p>
    <w:p>
      <w:pPr>
        <w:spacing w:after="0" w:line="364" w:lineRule="auto"/>
        <w:sectPr>
          <w:pgSz w:w="11910" w:h="16840"/>
          <w:pgMar w:top="1500" w:right="900" w:bottom="280" w:left="1560" w:header="720" w:footer="720" w:gutter="0"/>
        </w:sectPr>
      </w:pPr>
    </w:p>
    <w:p>
      <w:pPr>
        <w:pStyle w:val="2"/>
        <w:ind w:left="3430"/>
      </w:pPr>
      <w:r>
        <w:t>第八章 附则</w:t>
      </w:r>
    </w:p>
    <w:p>
      <w:pPr>
        <w:pStyle w:val="3"/>
        <w:spacing w:before="213" w:line="364" w:lineRule="auto"/>
        <w:ind w:right="897" w:firstLine="643"/>
        <w:jc w:val="both"/>
      </w:pPr>
      <w:r>
        <w:rPr>
          <w:b/>
          <w:spacing w:val="25"/>
        </w:rPr>
        <w:t xml:space="preserve">第三十三条 </w:t>
      </w:r>
      <w:r>
        <w:rPr>
          <w:spacing w:val="-4"/>
        </w:rPr>
        <w:t>学校按学生选择、确认修读的课程或教学</w:t>
      </w:r>
      <w:r>
        <w:rPr>
          <w:spacing w:val="-3"/>
        </w:rPr>
        <w:t>环节学分数核算收取学费，核算办法按省物价局、省财政厅</w:t>
      </w:r>
      <w:r>
        <w:t>及省教育厅核准的收费管理办法执行。</w:t>
      </w:r>
    </w:p>
    <w:p>
      <w:pPr>
        <w:pStyle w:val="3"/>
        <w:spacing w:before="3" w:line="364" w:lineRule="auto"/>
        <w:ind w:right="1033" w:firstLine="643"/>
        <w:jc w:val="both"/>
      </w:pPr>
      <w:r>
        <w:rPr>
          <w:b/>
        </w:rPr>
        <w:t xml:space="preserve">第三十四条 </w:t>
      </w:r>
      <w:r>
        <w:t>本办法自 2020 级起执行。往届学生可以参照执行，修业年限最长为六年。</w:t>
      </w:r>
    </w:p>
    <w:p>
      <w:pPr>
        <w:spacing w:before="2" w:line="364" w:lineRule="auto"/>
        <w:ind w:left="240" w:right="897" w:firstLine="643"/>
        <w:jc w:val="both"/>
        <w:rPr>
          <w:sz w:val="32"/>
        </w:rPr>
      </w:pPr>
      <w:r>
        <w:rPr>
          <w:b/>
          <w:sz w:val="32"/>
        </w:rPr>
        <w:t xml:space="preserve">第三十五条 </w:t>
      </w:r>
      <w:r>
        <w:rPr>
          <w:sz w:val="32"/>
        </w:rPr>
        <w:t>其他文件规定与本办法不一致的，以本办法为准。</w:t>
      </w:r>
    </w:p>
    <w:p>
      <w:pPr>
        <w:pStyle w:val="3"/>
        <w:spacing w:before="2" w:line="364" w:lineRule="auto"/>
        <w:ind w:right="897" w:firstLine="643"/>
        <w:jc w:val="both"/>
      </w:pPr>
      <w:r>
        <w:rPr>
          <w:b/>
        </w:rPr>
        <w:t xml:space="preserve">第三十六条 </w:t>
      </w:r>
      <w:r>
        <w:t>本办法由教务处负责解释，未尽事宜提交相关会议讨论决定。</w:t>
      </w:r>
    </w:p>
    <w:p>
      <w:pPr>
        <w:pStyle w:val="3"/>
        <w:ind w:left="0"/>
      </w:pPr>
    </w:p>
    <w:p>
      <w:pPr>
        <w:pStyle w:val="3"/>
        <w:ind w:left="0"/>
      </w:pPr>
    </w:p>
    <w:p>
      <w:pPr>
        <w:pStyle w:val="3"/>
        <w:ind w:left="0"/>
      </w:pPr>
    </w:p>
    <w:p>
      <w:pPr>
        <w:pStyle w:val="3"/>
        <w:ind w:left="0"/>
      </w:pPr>
    </w:p>
    <w:p>
      <w:pPr>
        <w:pStyle w:val="3"/>
        <w:spacing w:before="234" w:line="364" w:lineRule="auto"/>
        <w:ind w:left="5041" w:right="1856" w:hanging="12"/>
        <w:rPr>
          <w:rFonts w:hint="eastAsia" w:ascii="宋体" w:eastAsia="宋体"/>
        </w:rPr>
      </w:pPr>
      <w:r>
        <w:rPr>
          <w:rFonts w:hint="eastAsia" w:ascii="宋体" w:eastAsia="宋体"/>
          <w:spacing w:val="-3"/>
        </w:rPr>
        <w:t>江苏旅游职业学院</w:t>
      </w:r>
      <w:r>
        <w:rPr>
          <w:rFonts w:hint="eastAsia" w:ascii="宋体" w:eastAsia="宋体"/>
        </w:rPr>
        <w:t>2020</w:t>
      </w:r>
      <w:r>
        <w:rPr>
          <w:rFonts w:hint="eastAsia" w:ascii="宋体" w:eastAsia="宋体"/>
          <w:spacing w:val="-67"/>
        </w:rPr>
        <w:t xml:space="preserve"> 年 </w:t>
      </w:r>
      <w:r>
        <w:rPr>
          <w:rFonts w:hint="eastAsia" w:ascii="宋体" w:eastAsia="宋体"/>
        </w:rPr>
        <w:t>1</w:t>
      </w:r>
      <w:r>
        <w:rPr>
          <w:rFonts w:hint="eastAsia" w:ascii="宋体" w:eastAsia="宋体"/>
          <w:spacing w:val="-67"/>
        </w:rPr>
        <w:t xml:space="preserve"> 月 </w:t>
      </w:r>
      <w:r>
        <w:rPr>
          <w:rFonts w:hint="eastAsia" w:ascii="宋体" w:eastAsia="宋体"/>
        </w:rPr>
        <w:t>9</w:t>
      </w:r>
      <w:r>
        <w:rPr>
          <w:rFonts w:hint="eastAsia" w:ascii="宋体" w:eastAsia="宋体"/>
          <w:spacing w:val="-49"/>
        </w:rPr>
        <w:t xml:space="preserve"> 日</w:t>
      </w: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ind w:left="0"/>
        <w:rPr>
          <w:rFonts w:ascii="宋体"/>
          <w:sz w:val="20"/>
        </w:rPr>
      </w:pPr>
    </w:p>
    <w:p>
      <w:pPr>
        <w:pStyle w:val="3"/>
        <w:spacing w:before="4"/>
        <w:ind w:left="0"/>
        <w:rPr>
          <w:rFonts w:ascii="宋体"/>
          <w:sz w:val="20"/>
        </w:rPr>
      </w:pPr>
      <w:r>
        <mc:AlternateContent>
          <mc:Choice Requires="wps">
            <w:drawing>
              <wp:anchor distT="0" distB="0" distL="0" distR="0" simplePos="0" relativeHeight="251659264" behindDoc="1" locked="0" layoutInCell="1" allowOverlap="1">
                <wp:simplePos x="0" y="0"/>
                <wp:positionH relativeFrom="page">
                  <wp:posOffset>1143000</wp:posOffset>
                </wp:positionH>
                <wp:positionV relativeFrom="paragraph">
                  <wp:posOffset>194945</wp:posOffset>
                </wp:positionV>
                <wp:extent cx="5372100" cy="0"/>
                <wp:effectExtent l="0" t="0" r="0" b="0"/>
                <wp:wrapTopAndBottom/>
                <wp:docPr id="4" name="直线 3"/>
                <wp:cNvGraphicFramePr/>
                <a:graphic xmlns:a="http://schemas.openxmlformats.org/drawingml/2006/main">
                  <a:graphicData uri="http://schemas.microsoft.com/office/word/2010/wordprocessingShape">
                    <wps:wsp>
                      <wps:cNvSp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90pt;margin-top:15.35pt;height:0pt;width:423pt;mso-position-horizontal-relative:page;mso-wrap-distance-bottom:0pt;mso-wrap-distance-top:0pt;z-index:-251657216;mso-width-relative:page;mso-height-relative:page;" filled="f" stroked="t" coordsize="21600,21600" o:gfxdata="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nVUX91QAA&#10;AAoBAAAPAAAAAAAAAAEAIAAAACIAAABkcnMvZG93bnJldi54bWxQSwECFAAUAAAACACHTuJA4T5R&#10;0+gBAADbAwAADgAAAAAAAAABACAAAAAkAQAAZHJzL2Uyb0RvYy54bWxQSwUGAAAAAAYABgBZAQAA&#10;fgUAAAAA&#10;">
                <v:fill on="f" focussize="0,0"/>
                <v:stroke color="#000000" joinstyle="round"/>
                <v:imagedata o:title=""/>
                <o:lock v:ext="edit" aspectratio="f"/>
                <w10:wrap type="topAndBottom"/>
              </v:line>
            </w:pict>
          </mc:Fallback>
        </mc:AlternateContent>
      </w:r>
    </w:p>
    <w:p>
      <w:pPr>
        <w:pStyle w:val="3"/>
        <w:tabs>
          <w:tab w:val="left" w:pos="5521"/>
        </w:tabs>
        <w:spacing w:before="77" w:after="92"/>
        <w:rPr>
          <w:rFonts w:hint="eastAsia" w:ascii="宋体" w:eastAsia="宋体"/>
        </w:rPr>
      </w:pPr>
      <w:r>
        <w:rPr>
          <w:rFonts w:hint="eastAsia" w:ascii="宋体" w:eastAsia="宋体"/>
        </w:rPr>
        <w:t>江苏旅游职业学院</w:t>
      </w:r>
      <w:r>
        <w:rPr>
          <w:rFonts w:hint="eastAsia" w:ascii="宋体" w:eastAsia="宋体"/>
        </w:rPr>
        <w:tab/>
      </w:r>
      <w:r>
        <w:rPr>
          <w:rFonts w:hint="eastAsia" w:ascii="宋体" w:eastAsia="宋体"/>
        </w:rPr>
        <w:t>2020</w:t>
      </w:r>
      <w:r>
        <w:rPr>
          <w:rFonts w:hint="eastAsia" w:ascii="宋体" w:eastAsia="宋体"/>
          <w:spacing w:val="-83"/>
        </w:rPr>
        <w:t xml:space="preserve"> </w:t>
      </w:r>
      <w:r>
        <w:rPr>
          <w:rFonts w:hint="eastAsia" w:ascii="宋体" w:eastAsia="宋体"/>
        </w:rPr>
        <w:t>年</w:t>
      </w:r>
      <w:r>
        <w:rPr>
          <w:rFonts w:hint="eastAsia" w:ascii="宋体" w:eastAsia="宋体"/>
          <w:spacing w:val="-79"/>
        </w:rPr>
        <w:t xml:space="preserve"> </w:t>
      </w:r>
      <w:r>
        <w:rPr>
          <w:rFonts w:hint="eastAsia" w:ascii="宋体" w:eastAsia="宋体"/>
        </w:rPr>
        <w:t>1</w:t>
      </w:r>
      <w:r>
        <w:rPr>
          <w:rFonts w:hint="eastAsia" w:ascii="宋体" w:eastAsia="宋体"/>
          <w:spacing w:val="-80"/>
        </w:rPr>
        <w:t xml:space="preserve"> </w:t>
      </w:r>
      <w:r>
        <w:rPr>
          <w:rFonts w:hint="eastAsia" w:ascii="宋体" w:eastAsia="宋体"/>
        </w:rPr>
        <w:t>月</w:t>
      </w:r>
      <w:r>
        <w:rPr>
          <w:rFonts w:hint="eastAsia" w:ascii="宋体" w:eastAsia="宋体"/>
          <w:spacing w:val="-81"/>
        </w:rPr>
        <w:t xml:space="preserve"> </w:t>
      </w:r>
      <w:r>
        <w:rPr>
          <w:rFonts w:hint="eastAsia" w:ascii="宋体" w:eastAsia="宋体"/>
        </w:rPr>
        <w:t>9</w:t>
      </w:r>
      <w:r>
        <w:rPr>
          <w:rFonts w:hint="eastAsia" w:ascii="宋体" w:eastAsia="宋体"/>
          <w:spacing w:val="-79"/>
        </w:rPr>
        <w:t xml:space="preserve"> </w:t>
      </w:r>
      <w:r>
        <w:rPr>
          <w:rFonts w:hint="eastAsia" w:ascii="宋体" w:eastAsia="宋体"/>
        </w:rPr>
        <w:t>日印发</w:t>
      </w:r>
    </w:p>
    <w:p>
      <w:pPr>
        <w:pStyle w:val="3"/>
        <w:spacing w:line="20" w:lineRule="exact"/>
        <w:ind w:left="232"/>
        <w:rPr>
          <w:rFonts w:ascii="宋体"/>
          <w:sz w:val="2"/>
        </w:rPr>
      </w:pPr>
      <w:r>
        <w:rPr>
          <w:rFonts w:ascii="宋体"/>
          <w:sz w:val="2"/>
        </w:rPr>
        <mc:AlternateContent>
          <mc:Choice Requires="wpg">
            <w:drawing>
              <wp:inline distT="0" distB="0" distL="114300" distR="114300">
                <wp:extent cx="5372100" cy="9525"/>
                <wp:effectExtent l="0" t="0" r="0" b="0"/>
                <wp:docPr id="3" name="组合 4"/>
                <wp:cNvGraphicFramePr/>
                <a:graphic xmlns:a="http://schemas.openxmlformats.org/drawingml/2006/main">
                  <a:graphicData uri="http://schemas.microsoft.com/office/word/2010/wordprocessingGroup">
                    <wpg:wgp>
                      <wpg:cNvGrpSpPr/>
                      <wpg:grpSpPr>
                        <a:xfrm>
                          <a:off x="0" y="0"/>
                          <a:ext cx="5372100" cy="9525"/>
                          <a:chOff x="0" y="0"/>
                          <a:chExt cx="8460" cy="15"/>
                        </a:xfrm>
                      </wpg:grpSpPr>
                      <wps:wsp>
                        <wps:cNvPr id="2" name="直线 5"/>
                        <wps:cNvSpPr/>
                        <wps:spPr>
                          <a:xfrm>
                            <a:off x="0" y="7"/>
                            <a:ext cx="8460" cy="0"/>
                          </a:xfrm>
                          <a:prstGeom prst="line">
                            <a:avLst/>
                          </a:prstGeom>
                          <a:ln w="9525" cap="flat" cmpd="sng">
                            <a:solidFill>
                              <a:srgbClr val="000000"/>
                            </a:solidFill>
                            <a:prstDash val="solid"/>
                            <a:headEnd type="none" w="med" len="med"/>
                            <a:tailEnd type="none" w="med" len="med"/>
                          </a:ln>
                        </wps:spPr>
                        <wps:bodyPr upright="1"/>
                      </wps:wsp>
                    </wpg:wgp>
                  </a:graphicData>
                </a:graphic>
              </wp:inline>
            </w:drawing>
          </mc:Choice>
          <mc:Fallback>
            <w:pict>
              <v:group id="组合 4" o:spid="_x0000_s1026" o:spt="203" style="height:0.75pt;width:423pt;" coordsize="8460,15" o:gfxdata="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7FDKnTAAAAAwEAAA8AAAAAAAAAAQAgAAAA&#10;IgAAAGRycy9kb3ducmV2LnhtbFBLAQIUABQAAAAIAIdO4kCDXTTeSQIAAP4EAAAOAAAAAAAAAAEA&#10;IAAAACIBAABkcnMvZTJvRG9jLnhtbFBLBQYAAAAABgAGAFkBAADdBQAAAAA=&#10;">
                <o:lock v:ext="edit" aspectratio="f"/>
                <v:line id="直线 5" o:spid="_x0000_s1026" o:spt="20" style="position:absolute;left:0;top:7;height:0;width:846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w10:wrap type="none"/>
                <w10:anchorlock/>
              </v:group>
            </w:pict>
          </mc:Fallback>
        </mc:AlternateContent>
      </w:r>
    </w:p>
    <w:sectPr>
      <w:pgSz w:w="11910" w:h="16840"/>
      <w:pgMar w:top="1500" w:right="900" w:bottom="280" w:left="156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decimal"/>
      <w:lvlText w:val="%1."/>
      <w:lvlJc w:val="left"/>
      <w:pPr>
        <w:ind w:left="1361" w:hanging="480"/>
        <w:jc w:val="left"/>
      </w:pPr>
      <w:rPr>
        <w:rFonts w:hint="default" w:ascii="仿宋" w:hAnsi="仿宋" w:eastAsia="仿宋" w:cs="仿宋"/>
        <w:spacing w:val="0"/>
        <w:w w:val="99"/>
        <w:sz w:val="32"/>
        <w:szCs w:val="32"/>
        <w:lang w:val="zh-CN" w:eastAsia="zh-CN" w:bidi="zh-CN"/>
      </w:rPr>
    </w:lvl>
    <w:lvl w:ilvl="1" w:tentative="0">
      <w:start w:val="0"/>
      <w:numFmt w:val="bullet"/>
      <w:lvlText w:val="•"/>
      <w:lvlJc w:val="left"/>
      <w:pPr>
        <w:ind w:left="2168" w:hanging="480"/>
      </w:pPr>
      <w:rPr>
        <w:rFonts w:hint="default"/>
        <w:lang w:val="zh-CN" w:eastAsia="zh-CN" w:bidi="zh-CN"/>
      </w:rPr>
    </w:lvl>
    <w:lvl w:ilvl="2" w:tentative="0">
      <w:start w:val="0"/>
      <w:numFmt w:val="bullet"/>
      <w:lvlText w:val="•"/>
      <w:lvlJc w:val="left"/>
      <w:pPr>
        <w:ind w:left="2977" w:hanging="480"/>
      </w:pPr>
      <w:rPr>
        <w:rFonts w:hint="default"/>
        <w:lang w:val="zh-CN" w:eastAsia="zh-CN" w:bidi="zh-CN"/>
      </w:rPr>
    </w:lvl>
    <w:lvl w:ilvl="3" w:tentative="0">
      <w:start w:val="0"/>
      <w:numFmt w:val="bullet"/>
      <w:lvlText w:val="•"/>
      <w:lvlJc w:val="left"/>
      <w:pPr>
        <w:ind w:left="3785" w:hanging="480"/>
      </w:pPr>
      <w:rPr>
        <w:rFonts w:hint="default"/>
        <w:lang w:val="zh-CN" w:eastAsia="zh-CN" w:bidi="zh-CN"/>
      </w:rPr>
    </w:lvl>
    <w:lvl w:ilvl="4" w:tentative="0">
      <w:start w:val="0"/>
      <w:numFmt w:val="bullet"/>
      <w:lvlText w:val="•"/>
      <w:lvlJc w:val="left"/>
      <w:pPr>
        <w:ind w:left="4594" w:hanging="480"/>
      </w:pPr>
      <w:rPr>
        <w:rFonts w:hint="default"/>
        <w:lang w:val="zh-CN" w:eastAsia="zh-CN" w:bidi="zh-CN"/>
      </w:rPr>
    </w:lvl>
    <w:lvl w:ilvl="5" w:tentative="0">
      <w:start w:val="0"/>
      <w:numFmt w:val="bullet"/>
      <w:lvlText w:val="•"/>
      <w:lvlJc w:val="left"/>
      <w:pPr>
        <w:ind w:left="5403" w:hanging="480"/>
      </w:pPr>
      <w:rPr>
        <w:rFonts w:hint="default"/>
        <w:lang w:val="zh-CN" w:eastAsia="zh-CN" w:bidi="zh-CN"/>
      </w:rPr>
    </w:lvl>
    <w:lvl w:ilvl="6" w:tentative="0">
      <w:start w:val="0"/>
      <w:numFmt w:val="bullet"/>
      <w:lvlText w:val="•"/>
      <w:lvlJc w:val="left"/>
      <w:pPr>
        <w:ind w:left="6211" w:hanging="480"/>
      </w:pPr>
      <w:rPr>
        <w:rFonts w:hint="default"/>
        <w:lang w:val="zh-CN" w:eastAsia="zh-CN" w:bidi="zh-CN"/>
      </w:rPr>
    </w:lvl>
    <w:lvl w:ilvl="7" w:tentative="0">
      <w:start w:val="0"/>
      <w:numFmt w:val="bullet"/>
      <w:lvlText w:val="•"/>
      <w:lvlJc w:val="left"/>
      <w:pPr>
        <w:ind w:left="7020" w:hanging="480"/>
      </w:pPr>
      <w:rPr>
        <w:rFonts w:hint="default"/>
        <w:lang w:val="zh-CN" w:eastAsia="zh-CN" w:bidi="zh-CN"/>
      </w:rPr>
    </w:lvl>
    <w:lvl w:ilvl="8" w:tentative="0">
      <w:start w:val="0"/>
      <w:numFmt w:val="bullet"/>
      <w:lvlText w:val="•"/>
      <w:lvlJc w:val="left"/>
      <w:pPr>
        <w:ind w:left="7829" w:hanging="48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ED0A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27"/>
      <w:ind w:left="3109"/>
      <w:jc w:val="both"/>
      <w:outlineLvl w:val="1"/>
    </w:pPr>
    <w:rPr>
      <w:rFonts w:ascii="仿宋" w:hAnsi="仿宋" w:eastAsia="仿宋" w:cs="仿宋"/>
      <w:b/>
      <w:bCs/>
      <w:sz w:val="32"/>
      <w:szCs w:val="32"/>
      <w:lang w:val="zh-CN" w:eastAsia="zh-CN" w:bidi="zh-CN"/>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ind w:left="240"/>
    </w:pPr>
    <w:rPr>
      <w:rFonts w:ascii="仿宋" w:hAnsi="仿宋" w:eastAsia="仿宋" w:cs="仿宋"/>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3"/>
      <w:ind w:left="1202" w:hanging="481"/>
    </w:pPr>
    <w:rPr>
      <w:rFonts w:ascii="仿宋" w:hAnsi="仿宋" w:eastAsia="仿宋" w:cs="仿宋"/>
      <w:lang w:val="zh-CN" w:eastAsia="zh-CN" w:bidi="zh-CN"/>
    </w:rPr>
  </w:style>
  <w:style w:type="paragraph" w:customStyle="1" w:styleId="8">
    <w:name w:val="Table Paragraph"/>
    <w:basedOn w:val="1"/>
    <w:qFormat/>
    <w:uiPriority w:val="1"/>
    <w:pPr>
      <w:spacing w:before="132"/>
      <w:ind w:left="107"/>
      <w:jc w:val="center"/>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2020-12-18T07:48:00Z</dcterms:created>
  <dc:creator>莫丽丽</dc:creator>
  <cp:lastModifiedBy>江苏旅游职业学院姚丽</cp:lastModifiedBy>
  <dcterms:modified xsi:type="dcterms:W3CDTF">2020-12-18T07:49:19Z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2010</vt:lpwstr>
  </property>
  <property fmtid="{D5CDD505-2E9C-101B-9397-08002B2CF9AE}" pid="4" name="LastSaved">
    <vt:filetime>2020-12-18T00:00:00Z</vt:filetime>
  </property>
  <property fmtid="{D5CDD505-2E9C-101B-9397-08002B2CF9AE}" pid="5" name="KSOProductBuildVer">
    <vt:lpwstr>2052-11.1.0.10228</vt:lpwstr>
  </property>
</Properties>
</file>